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5E" w:rsidRDefault="00E30612" w:rsidP="00BF355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Rahandusministeeriumi k</w:t>
      </w:r>
      <w:r w:rsidR="00BF355E" w:rsidRPr="00E30612">
        <w:rPr>
          <w:rFonts w:ascii="Times New Roman" w:hAnsi="Times New Roman" w:cs="Times New Roman"/>
          <w:b/>
          <w:sz w:val="24"/>
          <w:szCs w:val="24"/>
        </w:rPr>
        <w:t xml:space="preserve">ommentaarid 1000 </w:t>
      </w:r>
      <w:proofErr w:type="spellStart"/>
      <w:r w:rsidR="00BF355E" w:rsidRPr="00E30612">
        <w:rPr>
          <w:rFonts w:ascii="Times New Roman" w:hAnsi="Times New Roman" w:cs="Times New Roman"/>
          <w:b/>
          <w:sz w:val="24"/>
          <w:szCs w:val="24"/>
        </w:rPr>
        <w:t>eurose</w:t>
      </w:r>
      <w:proofErr w:type="spellEnd"/>
      <w:r w:rsidR="00BF355E" w:rsidRPr="00E30612">
        <w:rPr>
          <w:rFonts w:ascii="Times New Roman" w:hAnsi="Times New Roman" w:cs="Times New Roman"/>
          <w:b/>
          <w:sz w:val="24"/>
          <w:szCs w:val="24"/>
        </w:rPr>
        <w:t xml:space="preserve"> miinimumpalga kohta</w:t>
      </w:r>
    </w:p>
    <w:p w:rsidR="00415184" w:rsidRPr="006E7213" w:rsidRDefault="00415184" w:rsidP="00BF355E">
      <w:pPr>
        <w:autoSpaceDE w:val="0"/>
        <w:autoSpaceDN w:val="0"/>
        <w:adjustRightInd w:val="0"/>
        <w:spacing w:after="0" w:line="240" w:lineRule="auto"/>
        <w:rPr>
          <w:rFonts w:ascii="Times New Roman" w:hAnsi="Times New Roman" w:cs="Times New Roman"/>
          <w:sz w:val="24"/>
          <w:szCs w:val="24"/>
        </w:rPr>
      </w:pPr>
    </w:p>
    <w:p w:rsidR="00415184" w:rsidRPr="006E7213" w:rsidRDefault="00415184" w:rsidP="00BF355E">
      <w:pPr>
        <w:autoSpaceDE w:val="0"/>
        <w:autoSpaceDN w:val="0"/>
        <w:adjustRightInd w:val="0"/>
        <w:spacing w:after="0" w:line="240" w:lineRule="auto"/>
        <w:rPr>
          <w:rFonts w:ascii="Times New Roman" w:hAnsi="Times New Roman" w:cs="Times New Roman"/>
          <w:sz w:val="24"/>
          <w:szCs w:val="24"/>
        </w:rPr>
      </w:pPr>
      <w:r w:rsidRPr="006E7213">
        <w:rPr>
          <w:rFonts w:ascii="Times New Roman" w:hAnsi="Times New Roman" w:cs="Times New Roman"/>
          <w:sz w:val="24"/>
          <w:szCs w:val="24"/>
        </w:rPr>
        <w:t>Koostas:</w:t>
      </w:r>
      <w:r w:rsidRPr="006E7213">
        <w:rPr>
          <w:rFonts w:ascii="Times New Roman" w:hAnsi="Times New Roman" w:cs="Times New Roman"/>
          <w:sz w:val="24"/>
          <w:szCs w:val="24"/>
        </w:rPr>
        <w:tab/>
        <w:t>Madis Aben</w:t>
      </w:r>
    </w:p>
    <w:p w:rsidR="00415184" w:rsidRPr="006E7213" w:rsidRDefault="00415184" w:rsidP="00BF355E">
      <w:pPr>
        <w:autoSpaceDE w:val="0"/>
        <w:autoSpaceDN w:val="0"/>
        <w:adjustRightInd w:val="0"/>
        <w:spacing w:after="0" w:line="240" w:lineRule="auto"/>
        <w:rPr>
          <w:rFonts w:ascii="Times New Roman" w:hAnsi="Times New Roman" w:cs="Times New Roman"/>
          <w:sz w:val="24"/>
          <w:szCs w:val="24"/>
        </w:rPr>
      </w:pPr>
      <w:r w:rsidRPr="006E7213">
        <w:rPr>
          <w:rFonts w:ascii="Times New Roman" w:hAnsi="Times New Roman" w:cs="Times New Roman"/>
          <w:sz w:val="24"/>
          <w:szCs w:val="24"/>
        </w:rPr>
        <w:t>Kuupäev:</w:t>
      </w:r>
      <w:r w:rsidRPr="006E7213">
        <w:rPr>
          <w:rFonts w:ascii="Times New Roman" w:hAnsi="Times New Roman" w:cs="Times New Roman"/>
          <w:sz w:val="24"/>
          <w:szCs w:val="24"/>
        </w:rPr>
        <w:tab/>
        <w:t>2</w:t>
      </w:r>
      <w:r w:rsidR="00CA5A31">
        <w:rPr>
          <w:rFonts w:ascii="Times New Roman" w:hAnsi="Times New Roman" w:cs="Times New Roman"/>
          <w:sz w:val="24"/>
          <w:szCs w:val="24"/>
        </w:rPr>
        <w:t>1</w:t>
      </w:r>
      <w:r w:rsidRPr="006E7213">
        <w:rPr>
          <w:rFonts w:ascii="Times New Roman" w:hAnsi="Times New Roman" w:cs="Times New Roman"/>
          <w:sz w:val="24"/>
          <w:szCs w:val="24"/>
        </w:rPr>
        <w:t>.5.2015</w:t>
      </w:r>
    </w:p>
    <w:p w:rsidR="00415184" w:rsidRPr="00E30612" w:rsidRDefault="00415184" w:rsidP="00BF355E">
      <w:pPr>
        <w:autoSpaceDE w:val="0"/>
        <w:autoSpaceDN w:val="0"/>
        <w:adjustRightInd w:val="0"/>
        <w:spacing w:after="0" w:line="240" w:lineRule="auto"/>
        <w:rPr>
          <w:rFonts w:ascii="Times New Roman" w:hAnsi="Times New Roman" w:cs="Times New Roman"/>
          <w:b/>
          <w:sz w:val="24"/>
          <w:szCs w:val="24"/>
        </w:rPr>
      </w:pPr>
    </w:p>
    <w:p w:rsidR="00BF355E" w:rsidRPr="0058545C" w:rsidRDefault="00BF355E" w:rsidP="00BF355E">
      <w:pPr>
        <w:autoSpaceDE w:val="0"/>
        <w:autoSpaceDN w:val="0"/>
        <w:adjustRightInd w:val="0"/>
        <w:spacing w:after="0" w:line="240" w:lineRule="auto"/>
        <w:rPr>
          <w:rFonts w:ascii="Times New Roman" w:hAnsi="Times New Roman" w:cs="Times New Roman"/>
          <w:sz w:val="24"/>
          <w:szCs w:val="24"/>
        </w:rPr>
      </w:pPr>
    </w:p>
    <w:p w:rsidR="00BF355E" w:rsidRPr="0058545C" w:rsidRDefault="00BF355E" w:rsidP="00BF355E">
      <w:pPr>
        <w:autoSpaceDE w:val="0"/>
        <w:autoSpaceDN w:val="0"/>
        <w:adjustRightInd w:val="0"/>
        <w:spacing w:after="0" w:line="240" w:lineRule="auto"/>
        <w:rPr>
          <w:rFonts w:ascii="Times New Roman" w:hAnsi="Times New Roman" w:cs="Times New Roman"/>
          <w:b/>
          <w:sz w:val="24"/>
          <w:szCs w:val="24"/>
        </w:rPr>
      </w:pPr>
      <w:r w:rsidRPr="0058545C">
        <w:rPr>
          <w:rFonts w:ascii="Times New Roman" w:hAnsi="Times New Roman" w:cs="Times New Roman"/>
          <w:b/>
          <w:sz w:val="24"/>
          <w:szCs w:val="24"/>
        </w:rPr>
        <w:t>Keskerakonna  algatatud kollektiivne pöördumine:</w:t>
      </w:r>
    </w:p>
    <w:p w:rsidR="00BF355E" w:rsidRPr="0058545C" w:rsidRDefault="00BF355E" w:rsidP="00BF355E">
      <w:pPr>
        <w:autoSpaceDE w:val="0"/>
        <w:autoSpaceDN w:val="0"/>
        <w:adjustRightInd w:val="0"/>
        <w:spacing w:after="0" w:line="240" w:lineRule="auto"/>
        <w:rPr>
          <w:rFonts w:ascii="Times New Roman" w:hAnsi="Times New Roman" w:cs="Times New Roman"/>
          <w:sz w:val="24"/>
          <w:szCs w:val="24"/>
        </w:rPr>
      </w:pPr>
    </w:p>
    <w:p w:rsidR="00970835" w:rsidRPr="0058545C" w:rsidRDefault="00BF355E" w:rsidP="00BF355E">
      <w:pPr>
        <w:autoSpaceDE w:val="0"/>
        <w:autoSpaceDN w:val="0"/>
        <w:adjustRightInd w:val="0"/>
        <w:spacing w:after="0" w:line="240" w:lineRule="auto"/>
        <w:rPr>
          <w:rFonts w:ascii="Times New Roman" w:hAnsi="Times New Roman" w:cs="Times New Roman"/>
          <w:sz w:val="24"/>
          <w:szCs w:val="24"/>
        </w:rPr>
      </w:pPr>
      <w:r w:rsidRPr="0058545C">
        <w:rPr>
          <w:rFonts w:ascii="Times New Roman" w:hAnsi="Times New Roman" w:cs="Times New Roman"/>
          <w:sz w:val="24"/>
          <w:szCs w:val="24"/>
        </w:rPr>
        <w:t>„Kutsume … Riigikogu XIII koosseisu võtma tar</w:t>
      </w:r>
      <w:r w:rsidR="0058545C" w:rsidRPr="0058545C">
        <w:rPr>
          <w:rFonts w:ascii="Times New Roman" w:hAnsi="Times New Roman" w:cs="Times New Roman"/>
          <w:sz w:val="24"/>
          <w:szCs w:val="24"/>
        </w:rPr>
        <w:t>v</w:t>
      </w:r>
      <w:r w:rsidRPr="0058545C">
        <w:rPr>
          <w:rFonts w:ascii="Times New Roman" w:hAnsi="Times New Roman" w:cs="Times New Roman"/>
          <w:sz w:val="24"/>
          <w:szCs w:val="24"/>
        </w:rPr>
        <w:t xml:space="preserve">itusele kõik seadusandlikud meetmed, et miinimumpalk tõstetaks 1000 euroni. Seda on vaja, et anda Eesti elanikele reaalne võimalus </w:t>
      </w:r>
      <w:r w:rsidRPr="000A622C">
        <w:rPr>
          <w:rFonts w:ascii="Times New Roman" w:hAnsi="Times New Roman" w:cs="Times New Roman"/>
          <w:sz w:val="24"/>
          <w:szCs w:val="24"/>
        </w:rPr>
        <w:t>toime tulla viimastel aastatel hüppeliselt kasvanud hindade ja kodukuludega. Sissetulekute märgatav ja tuntav tõus on vältimatu, et peatada väljaränne, tuua Eestisse tagasi töökohad ja tööinimesed ning taaskäivitada Eesti majandus.“</w:t>
      </w:r>
    </w:p>
    <w:p w:rsidR="00BF355E" w:rsidRPr="0058545C" w:rsidRDefault="00BF355E" w:rsidP="00BF355E">
      <w:pPr>
        <w:autoSpaceDE w:val="0"/>
        <w:autoSpaceDN w:val="0"/>
        <w:adjustRightInd w:val="0"/>
        <w:spacing w:after="0" w:line="240" w:lineRule="auto"/>
        <w:rPr>
          <w:rFonts w:ascii="Times New Roman" w:hAnsi="Times New Roman" w:cs="Times New Roman"/>
          <w:sz w:val="24"/>
          <w:szCs w:val="24"/>
        </w:rPr>
      </w:pPr>
    </w:p>
    <w:p w:rsidR="00BF355E" w:rsidRPr="0058545C" w:rsidRDefault="00BF355E" w:rsidP="00BF355E">
      <w:pPr>
        <w:autoSpaceDE w:val="0"/>
        <w:autoSpaceDN w:val="0"/>
        <w:adjustRightInd w:val="0"/>
        <w:spacing w:after="0" w:line="240" w:lineRule="auto"/>
        <w:rPr>
          <w:rFonts w:ascii="Times New Roman" w:hAnsi="Times New Roman" w:cs="Times New Roman"/>
          <w:sz w:val="24"/>
          <w:szCs w:val="24"/>
        </w:rPr>
      </w:pPr>
    </w:p>
    <w:p w:rsidR="0058545C" w:rsidRPr="00AE6E52" w:rsidRDefault="0058545C" w:rsidP="00BF355E">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sidRPr="00AE6E52">
        <w:rPr>
          <w:rFonts w:ascii="Times New Roman" w:hAnsi="Times New Roman" w:cs="Times New Roman"/>
          <w:b/>
          <w:sz w:val="24"/>
          <w:szCs w:val="24"/>
        </w:rPr>
        <w:t xml:space="preserve"> Üldis</w:t>
      </w:r>
      <w:r w:rsidR="00D14E45">
        <w:rPr>
          <w:rFonts w:ascii="Times New Roman" w:hAnsi="Times New Roman" w:cs="Times New Roman"/>
          <w:b/>
          <w:sz w:val="24"/>
          <w:szCs w:val="24"/>
        </w:rPr>
        <w:t>ed kommentaarid miinimumpalga kohta</w:t>
      </w:r>
    </w:p>
    <w:p w:rsidR="0058545C" w:rsidRDefault="0058545C" w:rsidP="0058545C">
      <w:pPr>
        <w:autoSpaceDE w:val="0"/>
        <w:autoSpaceDN w:val="0"/>
        <w:adjustRightInd w:val="0"/>
        <w:spacing w:after="0" w:line="240" w:lineRule="auto"/>
        <w:rPr>
          <w:rFonts w:ascii="Times New Roman" w:hAnsi="Times New Roman" w:cs="Times New Roman"/>
          <w:sz w:val="24"/>
          <w:szCs w:val="24"/>
        </w:rPr>
      </w:pPr>
    </w:p>
    <w:p w:rsidR="002F3FD9" w:rsidRDefault="002F3FD9" w:rsidP="006F6D19">
      <w:pPr>
        <w:pStyle w:val="ListParagraph"/>
        <w:numPr>
          <w:ilvl w:val="1"/>
          <w:numId w:val="1"/>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D471E">
        <w:rPr>
          <w:rFonts w:ascii="Times New Roman" w:hAnsi="Times New Roman" w:cs="Times New Roman"/>
          <w:b/>
          <w:sz w:val="24"/>
          <w:szCs w:val="24"/>
        </w:rPr>
        <w:t xml:space="preserve">Miks peaks riik sekkuma </w:t>
      </w:r>
      <w:r w:rsidR="00686ABE">
        <w:rPr>
          <w:rFonts w:ascii="Times New Roman" w:hAnsi="Times New Roman" w:cs="Times New Roman"/>
          <w:b/>
          <w:sz w:val="24"/>
          <w:szCs w:val="24"/>
        </w:rPr>
        <w:t>töötaja ja tööandja suhetesse</w:t>
      </w:r>
      <w:r w:rsidR="00BD4BA4">
        <w:rPr>
          <w:rFonts w:ascii="Times New Roman" w:hAnsi="Times New Roman" w:cs="Times New Roman"/>
          <w:b/>
          <w:sz w:val="24"/>
          <w:szCs w:val="24"/>
        </w:rPr>
        <w:t>?</w:t>
      </w:r>
    </w:p>
    <w:p w:rsidR="002F3FD9" w:rsidRDefault="002D471E" w:rsidP="002D471E">
      <w:pPr>
        <w:tabs>
          <w:tab w:val="left" w:pos="3909"/>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8B5694" w:rsidRDefault="008B5694" w:rsidP="002F3F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Põhiseaduse </w:t>
      </w:r>
      <w:r w:rsidRPr="002D6864">
        <w:rPr>
          <w:rFonts w:ascii="Times New Roman" w:hAnsi="Times New Roman" w:cs="Times New Roman"/>
          <w:sz w:val="24"/>
          <w:szCs w:val="24"/>
        </w:rPr>
        <w:t>§</w:t>
      </w:r>
      <w:r>
        <w:rPr>
          <w:rFonts w:ascii="Times New Roman" w:hAnsi="Times New Roman" w:cs="Times New Roman"/>
          <w:sz w:val="24"/>
          <w:szCs w:val="24"/>
        </w:rPr>
        <w:t xml:space="preserve"> 29 ütleb, et „Töötingimused </w:t>
      </w:r>
      <w:r w:rsidR="00AB62B1">
        <w:rPr>
          <w:rFonts w:ascii="Times New Roman" w:hAnsi="Times New Roman" w:cs="Times New Roman"/>
          <w:sz w:val="24"/>
          <w:szCs w:val="24"/>
        </w:rPr>
        <w:t xml:space="preserve">on </w:t>
      </w:r>
      <w:r>
        <w:rPr>
          <w:rFonts w:ascii="Times New Roman" w:hAnsi="Times New Roman" w:cs="Times New Roman"/>
          <w:sz w:val="24"/>
          <w:szCs w:val="24"/>
        </w:rPr>
        <w:t>riigi kontrolli all“</w:t>
      </w:r>
      <w:r w:rsidR="00F27866">
        <w:rPr>
          <w:rFonts w:ascii="Times New Roman" w:hAnsi="Times New Roman" w:cs="Times New Roman"/>
          <w:sz w:val="24"/>
          <w:szCs w:val="24"/>
        </w:rPr>
        <w:t xml:space="preserve"> ja Põhiseaduse kommenteeritud väljaanne sel</w:t>
      </w:r>
      <w:r w:rsidR="00CA5A31">
        <w:rPr>
          <w:rFonts w:ascii="Times New Roman" w:hAnsi="Times New Roman" w:cs="Times New Roman"/>
          <w:sz w:val="24"/>
          <w:szCs w:val="24"/>
        </w:rPr>
        <w:t>gitab</w:t>
      </w:r>
      <w:r w:rsidR="00F27866">
        <w:rPr>
          <w:rFonts w:ascii="Times New Roman" w:hAnsi="Times New Roman" w:cs="Times New Roman"/>
          <w:sz w:val="24"/>
          <w:szCs w:val="24"/>
        </w:rPr>
        <w:t>, et „</w:t>
      </w:r>
      <w:r w:rsidR="00F27866" w:rsidRPr="00F27866">
        <w:rPr>
          <w:rFonts w:ascii="Times New Roman" w:hAnsi="Times New Roman" w:cs="Times New Roman"/>
          <w:sz w:val="24"/>
          <w:szCs w:val="24"/>
        </w:rPr>
        <w:t xml:space="preserve">Tuginedes PS §-s 10 sätestatud inimväärikuse põhimõttele </w:t>
      </w:r>
      <w:r w:rsidR="00F27866">
        <w:rPr>
          <w:rFonts w:ascii="Times New Roman" w:hAnsi="Times New Roman" w:cs="Times New Roman"/>
          <w:sz w:val="24"/>
          <w:szCs w:val="24"/>
        </w:rPr>
        <w:t>/…/</w:t>
      </w:r>
      <w:r w:rsidR="00F27866" w:rsidRPr="00F27866">
        <w:rPr>
          <w:rFonts w:ascii="Times New Roman" w:hAnsi="Times New Roman" w:cs="Times New Roman"/>
          <w:sz w:val="24"/>
          <w:szCs w:val="24"/>
        </w:rPr>
        <w:t xml:space="preserve"> peaks minimaalne töötasu olema selline, et see tagaks täisajaga tööd tegevale inimesele ja ta perekonnale inimväärse äraelamise</w:t>
      </w:r>
      <w:r w:rsidR="00CA5A31">
        <w:rPr>
          <w:rFonts w:ascii="Times New Roman" w:hAnsi="Times New Roman" w:cs="Times New Roman"/>
          <w:sz w:val="24"/>
          <w:szCs w:val="24"/>
        </w:rPr>
        <w:t>.“</w:t>
      </w:r>
    </w:p>
    <w:p w:rsidR="008B5694" w:rsidRDefault="008B5694" w:rsidP="002F3FD9">
      <w:pPr>
        <w:autoSpaceDE w:val="0"/>
        <w:autoSpaceDN w:val="0"/>
        <w:adjustRightInd w:val="0"/>
        <w:spacing w:after="0" w:line="240" w:lineRule="auto"/>
        <w:rPr>
          <w:rFonts w:ascii="Times New Roman" w:hAnsi="Times New Roman" w:cs="Times New Roman"/>
          <w:sz w:val="24"/>
          <w:szCs w:val="24"/>
        </w:rPr>
      </w:pPr>
    </w:p>
    <w:p w:rsidR="002F3FD9" w:rsidRPr="002F3FD9" w:rsidRDefault="0035783F" w:rsidP="002F3F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Seadustatud töötasu alammäär on valitsuse </w:t>
      </w:r>
      <w:r w:rsidR="00DD55B0">
        <w:rPr>
          <w:rFonts w:ascii="Times New Roman" w:hAnsi="Times New Roman" w:cs="Times New Roman"/>
          <w:sz w:val="24"/>
          <w:szCs w:val="24"/>
        </w:rPr>
        <w:t xml:space="preserve">kõige otsesem poliitikameede nõrgas läbirääkimispositsioonis olevate madalapalgaliste töötajate palgataseme mõjutamiseks. </w:t>
      </w:r>
    </w:p>
    <w:p w:rsidR="00767C8C" w:rsidRPr="00767C8C" w:rsidRDefault="0058545C" w:rsidP="00767C8C">
      <w:pPr>
        <w:autoSpaceDE w:val="0"/>
        <w:autoSpaceDN w:val="0"/>
        <w:adjustRightInd w:val="0"/>
        <w:spacing w:after="0" w:line="240" w:lineRule="auto"/>
        <w:rPr>
          <w:rFonts w:ascii="Times New Roman" w:hAnsi="Times New Roman" w:cs="Times New Roman"/>
          <w:b/>
          <w:sz w:val="24"/>
          <w:szCs w:val="24"/>
        </w:rPr>
      </w:pPr>
      <w:r w:rsidRPr="002F3FD9">
        <w:rPr>
          <w:rFonts w:ascii="Times New Roman" w:hAnsi="Times New Roman" w:cs="Times New Roman"/>
          <w:b/>
          <w:sz w:val="24"/>
          <w:szCs w:val="24"/>
        </w:rPr>
        <w:t xml:space="preserve"> </w:t>
      </w:r>
    </w:p>
    <w:p w:rsidR="008B4F05" w:rsidRDefault="0052176F" w:rsidP="006F6D19">
      <w:pPr>
        <w:pStyle w:val="ListParagraph"/>
        <w:numPr>
          <w:ilvl w:val="1"/>
          <w:numId w:val="1"/>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Miinimumpalga regulatsioon teistes riikides</w:t>
      </w:r>
    </w:p>
    <w:p w:rsidR="00FA5FCB" w:rsidRDefault="0052176F" w:rsidP="0052176F">
      <w:pPr>
        <w:tabs>
          <w:tab w:val="left" w:pos="5006"/>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FA5FCB" w:rsidRDefault="00FA5FCB" w:rsidP="00FA5F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Valdavas enamuses ELi riikides on kehtestatud töötasu alammäär seadusega. </w:t>
      </w:r>
      <w:r w:rsidR="00435AE9">
        <w:rPr>
          <w:rFonts w:ascii="Times New Roman" w:hAnsi="Times New Roman" w:cs="Times New Roman"/>
          <w:sz w:val="24"/>
          <w:szCs w:val="24"/>
        </w:rPr>
        <w:t>Viimasena, a</w:t>
      </w:r>
      <w:r>
        <w:rPr>
          <w:rFonts w:ascii="Times New Roman" w:hAnsi="Times New Roman" w:cs="Times New Roman"/>
          <w:sz w:val="24"/>
          <w:szCs w:val="24"/>
        </w:rPr>
        <w:t xml:space="preserve">lates 2015. </w:t>
      </w:r>
      <w:r w:rsidR="00435AE9">
        <w:rPr>
          <w:rFonts w:ascii="Times New Roman" w:hAnsi="Times New Roman" w:cs="Times New Roman"/>
          <w:sz w:val="24"/>
          <w:szCs w:val="24"/>
        </w:rPr>
        <w:t>a</w:t>
      </w:r>
      <w:r>
        <w:rPr>
          <w:rFonts w:ascii="Times New Roman" w:hAnsi="Times New Roman" w:cs="Times New Roman"/>
          <w:sz w:val="24"/>
          <w:szCs w:val="24"/>
        </w:rPr>
        <w:t xml:space="preserve">astast kehtestati </w:t>
      </w:r>
      <w:r w:rsidR="00697258">
        <w:rPr>
          <w:rFonts w:ascii="Times New Roman" w:hAnsi="Times New Roman" w:cs="Times New Roman"/>
          <w:sz w:val="24"/>
          <w:szCs w:val="24"/>
        </w:rPr>
        <w:t xml:space="preserve">riiklik </w:t>
      </w:r>
      <w:r>
        <w:rPr>
          <w:rFonts w:ascii="Times New Roman" w:hAnsi="Times New Roman" w:cs="Times New Roman"/>
          <w:sz w:val="24"/>
          <w:szCs w:val="24"/>
        </w:rPr>
        <w:t xml:space="preserve">miinimumpalk ka Saksamaal (1473 eurot kuus </w:t>
      </w:r>
      <w:proofErr w:type="spellStart"/>
      <w:r>
        <w:rPr>
          <w:rFonts w:ascii="Times New Roman" w:hAnsi="Times New Roman" w:cs="Times New Roman"/>
          <w:sz w:val="24"/>
          <w:szCs w:val="24"/>
        </w:rPr>
        <w:t>Euro</w:t>
      </w:r>
      <w:r w:rsidR="00B2290A">
        <w:rPr>
          <w:rFonts w:ascii="Times New Roman" w:hAnsi="Times New Roman" w:cs="Times New Roman"/>
          <w:sz w:val="24"/>
          <w:szCs w:val="24"/>
        </w:rPr>
        <w:t>stati</w:t>
      </w:r>
      <w:proofErr w:type="spellEnd"/>
      <w:r w:rsidR="00B2290A">
        <w:rPr>
          <w:rFonts w:ascii="Times New Roman" w:hAnsi="Times New Roman" w:cs="Times New Roman"/>
          <w:sz w:val="24"/>
          <w:szCs w:val="24"/>
        </w:rPr>
        <w:t xml:space="preserve"> andmetel). Seaduse tasemel ei ole töötasu alammäära kehtestatud Austrias, Itaalias, Küprosel ja Skandinaaviamaades (Rootsi, Soome, Taani). See aga ei tähenda, et töötasu alammääras ei oleks nendes riikides üldse kokku lepitud, vaid need kokkulepped on ametühingute ja tööandjate </w:t>
      </w:r>
      <w:r w:rsidR="006E4708">
        <w:rPr>
          <w:rFonts w:ascii="Times New Roman" w:hAnsi="Times New Roman" w:cs="Times New Roman"/>
          <w:sz w:val="24"/>
          <w:szCs w:val="24"/>
        </w:rPr>
        <w:t>vahelised ning valdkonnapõhised.</w:t>
      </w:r>
      <w:r w:rsidR="0035783F">
        <w:rPr>
          <w:rFonts w:ascii="Times New Roman" w:hAnsi="Times New Roman" w:cs="Times New Roman"/>
          <w:sz w:val="24"/>
          <w:szCs w:val="24"/>
        </w:rPr>
        <w:t xml:space="preserve"> Valitsuse sekkumine nendes riikides ei ole vajalik, kuna sisuliselt </w:t>
      </w:r>
      <w:r w:rsidR="00CA5A31">
        <w:rPr>
          <w:rFonts w:ascii="Times New Roman" w:hAnsi="Times New Roman" w:cs="Times New Roman"/>
          <w:sz w:val="24"/>
          <w:szCs w:val="24"/>
        </w:rPr>
        <w:t>kõik töötajad</w:t>
      </w:r>
      <w:r w:rsidR="0035783F">
        <w:rPr>
          <w:rFonts w:ascii="Times New Roman" w:hAnsi="Times New Roman" w:cs="Times New Roman"/>
          <w:sz w:val="24"/>
          <w:szCs w:val="24"/>
        </w:rPr>
        <w:t xml:space="preserve"> on kaetud kollektiivsete töölepingutega või laieneb nende kehtivus ka lepinguvälistele töötajatele.</w:t>
      </w:r>
    </w:p>
    <w:p w:rsidR="00435AE9" w:rsidRDefault="00435AE9" w:rsidP="00FA5FCB">
      <w:pPr>
        <w:autoSpaceDE w:val="0"/>
        <w:autoSpaceDN w:val="0"/>
        <w:adjustRightInd w:val="0"/>
        <w:spacing w:after="0" w:line="240" w:lineRule="auto"/>
        <w:rPr>
          <w:rFonts w:ascii="Times New Roman" w:hAnsi="Times New Roman" w:cs="Times New Roman"/>
          <w:sz w:val="24"/>
          <w:szCs w:val="24"/>
        </w:rPr>
      </w:pPr>
    </w:p>
    <w:p w:rsidR="00435AE9" w:rsidRDefault="00435AE9" w:rsidP="00FA5F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Alates 2009. aastast kehtestati föderaalne miinimumpalk ka USAs ($7,25 ehk </w:t>
      </w:r>
      <w:r w:rsidR="00921025">
        <w:rPr>
          <w:rFonts w:ascii="Times New Roman" w:hAnsi="Times New Roman" w:cs="Times New Roman"/>
          <w:sz w:val="24"/>
          <w:szCs w:val="24"/>
        </w:rPr>
        <w:t xml:space="preserve">6,53 eurot tunnis ja 1100 eurot kuus, kasutades 20.5.2015 </w:t>
      </w:r>
      <w:r w:rsidR="008E172A">
        <w:rPr>
          <w:rFonts w:ascii="Times New Roman" w:hAnsi="Times New Roman" w:cs="Times New Roman"/>
          <w:sz w:val="24"/>
          <w:szCs w:val="24"/>
        </w:rPr>
        <w:t xml:space="preserve">kehtivat </w:t>
      </w:r>
      <w:r w:rsidR="00921025">
        <w:rPr>
          <w:rFonts w:ascii="Times New Roman" w:hAnsi="Times New Roman" w:cs="Times New Roman"/>
          <w:sz w:val="24"/>
          <w:szCs w:val="24"/>
        </w:rPr>
        <w:t>$ ja euro vahetuskurssi 1,11</w:t>
      </w:r>
      <w:r>
        <w:rPr>
          <w:rFonts w:ascii="Times New Roman" w:hAnsi="Times New Roman" w:cs="Times New Roman"/>
          <w:sz w:val="24"/>
          <w:szCs w:val="24"/>
        </w:rPr>
        <w:t xml:space="preserve">). </w:t>
      </w:r>
      <w:r w:rsidR="00921025">
        <w:rPr>
          <w:rFonts w:ascii="Times New Roman" w:hAnsi="Times New Roman" w:cs="Times New Roman"/>
          <w:sz w:val="24"/>
          <w:szCs w:val="24"/>
        </w:rPr>
        <w:t>Rohkem kui pooltes osariikides on kehtestatud föderaalsest miinimumist kõrgem alampalga määr.</w:t>
      </w:r>
    </w:p>
    <w:p w:rsidR="00B2290A" w:rsidRPr="00FA5FCB" w:rsidRDefault="00B2290A" w:rsidP="00FA5FCB">
      <w:pPr>
        <w:autoSpaceDE w:val="0"/>
        <w:autoSpaceDN w:val="0"/>
        <w:adjustRightInd w:val="0"/>
        <w:spacing w:after="0" w:line="240" w:lineRule="auto"/>
        <w:rPr>
          <w:rFonts w:ascii="Times New Roman" w:hAnsi="Times New Roman" w:cs="Times New Roman"/>
          <w:sz w:val="24"/>
          <w:szCs w:val="24"/>
        </w:rPr>
      </w:pPr>
    </w:p>
    <w:p w:rsidR="0058545C" w:rsidRPr="00AE6E52" w:rsidRDefault="0058545C" w:rsidP="0058545C">
      <w:pPr>
        <w:pStyle w:val="ListParagraph"/>
        <w:numPr>
          <w:ilvl w:val="1"/>
          <w:numId w:val="1"/>
        </w:numPr>
        <w:autoSpaceDE w:val="0"/>
        <w:autoSpaceDN w:val="0"/>
        <w:adjustRightInd w:val="0"/>
        <w:spacing w:after="0" w:line="240" w:lineRule="auto"/>
        <w:rPr>
          <w:rFonts w:ascii="Times New Roman" w:hAnsi="Times New Roman" w:cs="Times New Roman"/>
          <w:b/>
          <w:sz w:val="24"/>
          <w:szCs w:val="24"/>
        </w:rPr>
      </w:pPr>
      <w:r w:rsidRPr="00AE6E52">
        <w:rPr>
          <w:rFonts w:ascii="Times New Roman" w:hAnsi="Times New Roman" w:cs="Times New Roman"/>
          <w:b/>
          <w:sz w:val="24"/>
          <w:szCs w:val="24"/>
        </w:rPr>
        <w:t>Eesti miinimumpalk rahvusvahelises kontekstis</w:t>
      </w:r>
    </w:p>
    <w:p w:rsidR="0058545C" w:rsidRDefault="0058545C" w:rsidP="0058545C">
      <w:pPr>
        <w:pStyle w:val="ListParagraph"/>
        <w:autoSpaceDE w:val="0"/>
        <w:autoSpaceDN w:val="0"/>
        <w:adjustRightInd w:val="0"/>
        <w:spacing w:after="0" w:line="240" w:lineRule="auto"/>
        <w:rPr>
          <w:rFonts w:ascii="Times New Roman" w:hAnsi="Times New Roman" w:cs="Times New Roman"/>
          <w:sz w:val="24"/>
          <w:szCs w:val="24"/>
        </w:rPr>
      </w:pPr>
    </w:p>
    <w:p w:rsidR="00DD55B0" w:rsidRDefault="0078642D" w:rsidP="00DD55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Joonis</w:t>
      </w:r>
      <w:r w:rsidR="00BD4BA4">
        <w:rPr>
          <w:rFonts w:ascii="Times New Roman" w:hAnsi="Times New Roman" w:cs="Times New Roman"/>
          <w:sz w:val="24"/>
          <w:szCs w:val="24"/>
        </w:rPr>
        <w:t>el</w:t>
      </w:r>
      <w:r>
        <w:rPr>
          <w:rFonts w:ascii="Times New Roman" w:hAnsi="Times New Roman" w:cs="Times New Roman"/>
          <w:sz w:val="24"/>
          <w:szCs w:val="24"/>
        </w:rPr>
        <w:t xml:space="preserve"> 1 </w:t>
      </w:r>
      <w:r w:rsidR="00BD4BA4">
        <w:rPr>
          <w:rFonts w:ascii="Times New Roman" w:hAnsi="Times New Roman" w:cs="Times New Roman"/>
          <w:sz w:val="24"/>
          <w:szCs w:val="24"/>
        </w:rPr>
        <w:t>on</w:t>
      </w:r>
      <w:r>
        <w:rPr>
          <w:rFonts w:ascii="Times New Roman" w:hAnsi="Times New Roman" w:cs="Times New Roman"/>
          <w:sz w:val="24"/>
          <w:szCs w:val="24"/>
        </w:rPr>
        <w:t xml:space="preserve"> OECD riigid</w:t>
      </w:r>
      <w:r w:rsidR="00BD4BA4">
        <w:rPr>
          <w:rFonts w:ascii="Times New Roman" w:hAnsi="Times New Roman" w:cs="Times New Roman"/>
          <w:sz w:val="24"/>
          <w:szCs w:val="24"/>
        </w:rPr>
        <w:t xml:space="preserve"> reastatud</w:t>
      </w:r>
      <w:r>
        <w:rPr>
          <w:rFonts w:ascii="Times New Roman" w:hAnsi="Times New Roman" w:cs="Times New Roman"/>
          <w:sz w:val="24"/>
          <w:szCs w:val="24"/>
        </w:rPr>
        <w:t xml:space="preserve"> miinimumbrutopalga suhte järgi mediaanpalka ja Eesti puhul oli see suhe 2013. aastal veidi alla 40%. Aastatel 2014–2015 kasvas Eestis miinimumpalk keskmisest mõnevõrra kiiremini (kahe aasta keskmine kasv vastavalt 10% ja 6,7%), mistõttu on praeguseks see suhtarv veidi paranenud. Joonisel puuduvad Skandinaaviamaad, kus üleriigilist seadusega kehtestatud miinimumpalka ei ole, kuid kus </w:t>
      </w:r>
      <w:r>
        <w:rPr>
          <w:rFonts w:ascii="Times New Roman" w:hAnsi="Times New Roman" w:cs="Times New Roman"/>
          <w:sz w:val="24"/>
          <w:szCs w:val="24"/>
        </w:rPr>
        <w:lastRenderedPageBreak/>
        <w:t>sisuliselt on miinimumtöötasu suhe keskmisesse ilmselt üle OECD keskmise.</w:t>
      </w:r>
      <w:r w:rsidR="00DD55B0" w:rsidRPr="00DD55B0">
        <w:rPr>
          <w:rFonts w:ascii="Times New Roman" w:hAnsi="Times New Roman" w:cs="Times New Roman"/>
          <w:sz w:val="24"/>
          <w:szCs w:val="24"/>
        </w:rPr>
        <w:t xml:space="preserve"> </w:t>
      </w:r>
      <w:r w:rsidR="00DD55B0">
        <w:rPr>
          <w:rFonts w:ascii="Times New Roman" w:hAnsi="Times New Roman" w:cs="Times New Roman"/>
          <w:sz w:val="24"/>
          <w:szCs w:val="24"/>
        </w:rPr>
        <w:t>Perioodil 2007–2013 on märgatavalt miinimumpalga suhet riigi keskmisesse parandanud Läti, Poola ja Sloveenia.</w:t>
      </w:r>
    </w:p>
    <w:p w:rsidR="0078642D" w:rsidRDefault="0078642D" w:rsidP="00BC3CE0">
      <w:pPr>
        <w:autoSpaceDE w:val="0"/>
        <w:autoSpaceDN w:val="0"/>
        <w:adjustRightInd w:val="0"/>
        <w:spacing w:after="0" w:line="240" w:lineRule="auto"/>
        <w:rPr>
          <w:rFonts w:ascii="Times New Roman" w:hAnsi="Times New Roman" w:cs="Times New Roman"/>
          <w:sz w:val="24"/>
          <w:szCs w:val="24"/>
        </w:rPr>
      </w:pPr>
    </w:p>
    <w:p w:rsidR="0078642D" w:rsidRDefault="0078642D" w:rsidP="00BC3C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Joonis</w:t>
      </w:r>
      <w:r w:rsidR="00C53855">
        <w:rPr>
          <w:rFonts w:ascii="Times New Roman" w:hAnsi="Times New Roman" w:cs="Times New Roman"/>
          <w:sz w:val="24"/>
          <w:szCs w:val="24"/>
        </w:rPr>
        <w:t>el</w:t>
      </w:r>
      <w:r>
        <w:rPr>
          <w:rFonts w:ascii="Times New Roman" w:hAnsi="Times New Roman" w:cs="Times New Roman"/>
          <w:sz w:val="24"/>
          <w:szCs w:val="24"/>
        </w:rPr>
        <w:t xml:space="preserve"> 2</w:t>
      </w:r>
      <w:r w:rsidR="00BD4BA4">
        <w:rPr>
          <w:rFonts w:ascii="Times New Roman" w:hAnsi="Times New Roman" w:cs="Times New Roman"/>
          <w:sz w:val="24"/>
          <w:szCs w:val="24"/>
        </w:rPr>
        <w:t xml:space="preserve"> on</w:t>
      </w:r>
      <w:r>
        <w:rPr>
          <w:rFonts w:ascii="Times New Roman" w:hAnsi="Times New Roman" w:cs="Times New Roman"/>
          <w:sz w:val="24"/>
          <w:szCs w:val="24"/>
        </w:rPr>
        <w:t xml:space="preserve"> riigid</w:t>
      </w:r>
      <w:r w:rsidR="00BD4BA4">
        <w:rPr>
          <w:rFonts w:ascii="Times New Roman" w:hAnsi="Times New Roman" w:cs="Times New Roman"/>
          <w:sz w:val="24"/>
          <w:szCs w:val="24"/>
        </w:rPr>
        <w:t xml:space="preserve"> reastatud</w:t>
      </w:r>
      <w:r>
        <w:rPr>
          <w:rFonts w:ascii="Times New Roman" w:hAnsi="Times New Roman" w:cs="Times New Roman"/>
          <w:sz w:val="24"/>
          <w:szCs w:val="24"/>
        </w:rPr>
        <w:t xml:space="preserve"> miinimumpalga </w:t>
      </w:r>
      <w:r w:rsidR="00C53855">
        <w:rPr>
          <w:rFonts w:ascii="Times New Roman" w:hAnsi="Times New Roman" w:cs="Times New Roman"/>
          <w:sz w:val="24"/>
          <w:szCs w:val="24"/>
        </w:rPr>
        <w:t xml:space="preserve">reaalse </w:t>
      </w:r>
      <w:r>
        <w:rPr>
          <w:rFonts w:ascii="Times New Roman" w:hAnsi="Times New Roman" w:cs="Times New Roman"/>
          <w:sz w:val="24"/>
          <w:szCs w:val="24"/>
        </w:rPr>
        <w:t xml:space="preserve">ostujõu järgi, kus rahaline miinimumpalk on korrigeeritud kohaliku hinnatasemega. </w:t>
      </w:r>
      <w:r w:rsidR="004834BB">
        <w:rPr>
          <w:rFonts w:ascii="Times New Roman" w:hAnsi="Times New Roman" w:cs="Times New Roman"/>
          <w:sz w:val="24"/>
          <w:szCs w:val="24"/>
        </w:rPr>
        <w:t>Selles võrdluses jäävad Eestis</w:t>
      </w:r>
      <w:r w:rsidR="00C53855">
        <w:rPr>
          <w:rFonts w:ascii="Times New Roman" w:hAnsi="Times New Roman" w:cs="Times New Roman"/>
          <w:sz w:val="24"/>
          <w:szCs w:val="24"/>
        </w:rPr>
        <w:t>t</w:t>
      </w:r>
      <w:r w:rsidR="004834BB">
        <w:rPr>
          <w:rFonts w:ascii="Times New Roman" w:hAnsi="Times New Roman" w:cs="Times New Roman"/>
          <w:sz w:val="24"/>
          <w:szCs w:val="24"/>
        </w:rPr>
        <w:t xml:space="preserve"> tahapoole kolm OECD riiki: Mehhiko, Läti ja Tšiili. </w:t>
      </w:r>
      <w:r w:rsidR="00BD4BA4">
        <w:rPr>
          <w:rFonts w:ascii="Times New Roman" w:hAnsi="Times New Roman" w:cs="Times New Roman"/>
          <w:sz w:val="24"/>
          <w:szCs w:val="24"/>
        </w:rPr>
        <w:t xml:space="preserve">Suure osa erinevustest joonise erinevates otstes seletab ära keskmise palga ehk üldise elatustaseme erinevus, kuid oma roll on ka kehtestatud miinimumpalga suhtel keskmisesse.  </w:t>
      </w:r>
    </w:p>
    <w:p w:rsidR="00DD55B0" w:rsidRDefault="00DD55B0" w:rsidP="00BC3CE0">
      <w:pPr>
        <w:autoSpaceDE w:val="0"/>
        <w:autoSpaceDN w:val="0"/>
        <w:adjustRightInd w:val="0"/>
        <w:spacing w:after="0" w:line="240" w:lineRule="auto"/>
        <w:rPr>
          <w:rFonts w:ascii="Times New Roman" w:hAnsi="Times New Roman" w:cs="Times New Roman"/>
          <w:sz w:val="24"/>
          <w:szCs w:val="24"/>
        </w:rPr>
      </w:pPr>
    </w:p>
    <w:p w:rsidR="00BC3CE0" w:rsidRPr="00BC3CE0" w:rsidRDefault="00BC3CE0" w:rsidP="00BC3CE0">
      <w:pPr>
        <w:autoSpaceDE w:val="0"/>
        <w:autoSpaceDN w:val="0"/>
        <w:adjustRightInd w:val="0"/>
        <w:spacing w:after="0" w:line="240" w:lineRule="auto"/>
        <w:rPr>
          <w:rFonts w:cs="Times New Roman"/>
          <w:b/>
        </w:rPr>
      </w:pPr>
      <w:r w:rsidRPr="0043273A">
        <w:rPr>
          <w:rFonts w:cs="Times New Roman"/>
          <w:b/>
        </w:rPr>
        <w:t xml:space="preserve">Joonis 1. </w:t>
      </w:r>
      <w:r>
        <w:rPr>
          <w:rFonts w:cs="Times New Roman"/>
          <w:b/>
        </w:rPr>
        <w:t xml:space="preserve">Miinimumpalga </w:t>
      </w:r>
      <w:r w:rsidR="002C1AB7">
        <w:rPr>
          <w:rFonts w:cs="Times New Roman"/>
          <w:b/>
        </w:rPr>
        <w:t xml:space="preserve">(bruto) </w:t>
      </w:r>
      <w:r>
        <w:rPr>
          <w:rFonts w:cs="Times New Roman"/>
          <w:b/>
        </w:rPr>
        <w:t>suhe mediaanpalka 2007 ja 2013, %</w:t>
      </w:r>
      <w:r w:rsidRPr="0043273A">
        <w:rPr>
          <w:rFonts w:cs="Times New Roman"/>
          <w:b/>
        </w:rPr>
        <w:t xml:space="preserve"> </w:t>
      </w:r>
      <w:r>
        <w:rPr>
          <w:noProof/>
          <w:lang w:eastAsia="et-EE"/>
        </w:rPr>
        <w:drawing>
          <wp:inline distT="0" distB="0" distL="0" distR="0">
            <wp:extent cx="5900225" cy="3395133"/>
            <wp:effectExtent l="19050" t="0" r="52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7898" cy="3399548"/>
                    </a:xfrm>
                    <a:prstGeom prst="rect">
                      <a:avLst/>
                    </a:prstGeom>
                    <a:noFill/>
                    <a:ln w="9525">
                      <a:noFill/>
                      <a:miter lim="800000"/>
                      <a:headEnd/>
                      <a:tailEnd/>
                    </a:ln>
                  </pic:spPr>
                </pic:pic>
              </a:graphicData>
            </a:graphic>
          </wp:inline>
        </w:drawing>
      </w:r>
      <w:r>
        <w:rPr>
          <w:rFonts w:cs="Times New Roman"/>
          <w:b/>
        </w:rPr>
        <w:br/>
      </w:r>
      <w:r w:rsidRPr="00BC3CE0">
        <w:rPr>
          <w:rFonts w:cs="Times New Roman"/>
          <w:i/>
        </w:rPr>
        <w:t xml:space="preserve">Allikas: </w:t>
      </w:r>
      <w:proofErr w:type="spellStart"/>
      <w:r w:rsidRPr="00BC3CE0">
        <w:rPr>
          <w:rFonts w:cs="Times New Roman"/>
          <w:i/>
        </w:rPr>
        <w:t>Minimum</w:t>
      </w:r>
      <w:proofErr w:type="spellEnd"/>
      <w:r w:rsidRPr="00BC3CE0">
        <w:rPr>
          <w:rFonts w:cs="Times New Roman"/>
          <w:i/>
        </w:rPr>
        <w:t xml:space="preserve"> </w:t>
      </w:r>
      <w:proofErr w:type="spellStart"/>
      <w:r w:rsidRPr="00BC3CE0">
        <w:rPr>
          <w:rFonts w:cs="Times New Roman"/>
          <w:i/>
        </w:rPr>
        <w:t>wages</w:t>
      </w:r>
      <w:proofErr w:type="spellEnd"/>
      <w:r w:rsidRPr="00BC3CE0">
        <w:rPr>
          <w:rFonts w:cs="Times New Roman"/>
          <w:i/>
        </w:rPr>
        <w:t xml:space="preserve"> </w:t>
      </w:r>
      <w:proofErr w:type="spellStart"/>
      <w:r w:rsidRPr="00BC3CE0">
        <w:rPr>
          <w:rFonts w:cs="Times New Roman"/>
          <w:i/>
        </w:rPr>
        <w:t>a</w:t>
      </w:r>
      <w:r w:rsidR="00AB6095">
        <w:rPr>
          <w:rFonts w:cs="Times New Roman"/>
          <w:i/>
        </w:rPr>
        <w:t>f</w:t>
      </w:r>
      <w:r w:rsidRPr="00BC3CE0">
        <w:rPr>
          <w:rFonts w:cs="Times New Roman"/>
          <w:i/>
        </w:rPr>
        <w:t>ter</w:t>
      </w:r>
      <w:proofErr w:type="spellEnd"/>
      <w:r w:rsidRPr="00BC3CE0">
        <w:rPr>
          <w:rFonts w:cs="Times New Roman"/>
          <w:i/>
        </w:rPr>
        <w:t xml:space="preserve"> </w:t>
      </w:r>
      <w:proofErr w:type="spellStart"/>
      <w:r w:rsidRPr="00BC3CE0">
        <w:rPr>
          <w:rFonts w:cs="Times New Roman"/>
          <w:i/>
        </w:rPr>
        <w:t>the</w:t>
      </w:r>
      <w:proofErr w:type="spellEnd"/>
      <w:r w:rsidRPr="00BC3CE0">
        <w:rPr>
          <w:rFonts w:cs="Times New Roman"/>
          <w:i/>
        </w:rPr>
        <w:t xml:space="preserve"> </w:t>
      </w:r>
      <w:proofErr w:type="spellStart"/>
      <w:r w:rsidRPr="00BC3CE0">
        <w:rPr>
          <w:rFonts w:cs="Times New Roman"/>
          <w:i/>
        </w:rPr>
        <w:t>crisis</w:t>
      </w:r>
      <w:proofErr w:type="spellEnd"/>
      <w:r w:rsidRPr="00BC3CE0">
        <w:rPr>
          <w:rFonts w:cs="Times New Roman"/>
          <w:i/>
        </w:rPr>
        <w:t xml:space="preserve">: </w:t>
      </w:r>
      <w:proofErr w:type="spellStart"/>
      <w:r w:rsidRPr="00BC3CE0">
        <w:rPr>
          <w:rFonts w:cs="Times New Roman"/>
          <w:i/>
        </w:rPr>
        <w:t>Making</w:t>
      </w:r>
      <w:proofErr w:type="spellEnd"/>
      <w:r w:rsidRPr="00BC3CE0">
        <w:rPr>
          <w:rFonts w:cs="Times New Roman"/>
          <w:i/>
        </w:rPr>
        <w:t xml:space="preserve"> </w:t>
      </w:r>
      <w:proofErr w:type="spellStart"/>
      <w:r w:rsidRPr="00BC3CE0">
        <w:rPr>
          <w:rFonts w:cs="Times New Roman"/>
          <w:i/>
        </w:rPr>
        <w:t>them</w:t>
      </w:r>
      <w:proofErr w:type="spellEnd"/>
      <w:r w:rsidRPr="00BC3CE0">
        <w:rPr>
          <w:rFonts w:cs="Times New Roman"/>
          <w:i/>
        </w:rPr>
        <w:t xml:space="preserve"> </w:t>
      </w:r>
      <w:proofErr w:type="spellStart"/>
      <w:r w:rsidRPr="00BC3CE0">
        <w:rPr>
          <w:rFonts w:cs="Times New Roman"/>
          <w:i/>
        </w:rPr>
        <w:t>pay</w:t>
      </w:r>
      <w:proofErr w:type="spellEnd"/>
      <w:r w:rsidRPr="00BC3CE0">
        <w:rPr>
          <w:rFonts w:cs="Times New Roman"/>
          <w:i/>
        </w:rPr>
        <w:t xml:space="preserve">, </w:t>
      </w:r>
      <w:r w:rsidR="00CE653D">
        <w:rPr>
          <w:rFonts w:cs="Times New Roman"/>
          <w:i/>
        </w:rPr>
        <w:t xml:space="preserve">OECD </w:t>
      </w:r>
      <w:r w:rsidRPr="00BC3CE0">
        <w:rPr>
          <w:rFonts w:cs="Times New Roman"/>
          <w:i/>
        </w:rPr>
        <w:t>2015</w:t>
      </w:r>
    </w:p>
    <w:p w:rsidR="00126583" w:rsidRDefault="00126583" w:rsidP="002C1AB7">
      <w:pPr>
        <w:tabs>
          <w:tab w:val="left" w:pos="1125"/>
        </w:tabs>
        <w:autoSpaceDE w:val="0"/>
        <w:autoSpaceDN w:val="0"/>
        <w:adjustRightInd w:val="0"/>
        <w:spacing w:after="0" w:line="240" w:lineRule="auto"/>
        <w:rPr>
          <w:rFonts w:cs="Times New Roman"/>
          <w:b/>
        </w:rPr>
      </w:pPr>
    </w:p>
    <w:p w:rsidR="00FB7C77" w:rsidRDefault="00FB7C77" w:rsidP="002C1AB7">
      <w:pPr>
        <w:tabs>
          <w:tab w:val="left" w:pos="1125"/>
        </w:tabs>
        <w:autoSpaceDE w:val="0"/>
        <w:autoSpaceDN w:val="0"/>
        <w:adjustRightInd w:val="0"/>
        <w:spacing w:after="0" w:line="240" w:lineRule="auto"/>
        <w:rPr>
          <w:rFonts w:cs="Times New Roman"/>
          <w:b/>
        </w:rPr>
      </w:pPr>
    </w:p>
    <w:p w:rsidR="00C53855" w:rsidRDefault="00C53855">
      <w:pPr>
        <w:rPr>
          <w:rFonts w:cs="Times New Roman"/>
          <w:b/>
        </w:rPr>
      </w:pPr>
      <w:r>
        <w:rPr>
          <w:rFonts w:cs="Times New Roman"/>
          <w:b/>
        </w:rPr>
        <w:br w:type="page"/>
      </w:r>
    </w:p>
    <w:p w:rsidR="00BC3CE0" w:rsidRDefault="002C1AB7" w:rsidP="002C1AB7">
      <w:pPr>
        <w:tabs>
          <w:tab w:val="left" w:pos="1125"/>
        </w:tabs>
        <w:autoSpaceDE w:val="0"/>
        <w:autoSpaceDN w:val="0"/>
        <w:adjustRightInd w:val="0"/>
        <w:spacing w:after="0" w:line="240" w:lineRule="auto"/>
        <w:rPr>
          <w:rFonts w:ascii="Times New Roman" w:hAnsi="Times New Roman" w:cs="Times New Roman"/>
          <w:sz w:val="24"/>
          <w:szCs w:val="24"/>
        </w:rPr>
      </w:pPr>
      <w:r w:rsidRPr="0043273A">
        <w:rPr>
          <w:rFonts w:cs="Times New Roman"/>
          <w:b/>
        </w:rPr>
        <w:lastRenderedPageBreak/>
        <w:t xml:space="preserve">Joonis </w:t>
      </w:r>
      <w:r>
        <w:rPr>
          <w:rFonts w:cs="Times New Roman"/>
          <w:b/>
        </w:rPr>
        <w:t>2</w:t>
      </w:r>
      <w:r w:rsidRPr="0043273A">
        <w:rPr>
          <w:rFonts w:cs="Times New Roman"/>
          <w:b/>
        </w:rPr>
        <w:t xml:space="preserve">. </w:t>
      </w:r>
      <w:r>
        <w:rPr>
          <w:rFonts w:cs="Times New Roman"/>
          <w:b/>
        </w:rPr>
        <w:t>Bruto ja neto miinimumpalk 2013 riikide ostujõuga korrigeeritud hindades, $</w:t>
      </w:r>
      <w:r w:rsidR="00BC3CE0" w:rsidRPr="002C1AB7">
        <w:rPr>
          <w:rFonts w:ascii="Times New Roman" w:hAnsi="Times New Roman" w:cs="Times New Roman"/>
          <w:sz w:val="24"/>
          <w:szCs w:val="24"/>
        </w:rPr>
        <w:tab/>
      </w:r>
    </w:p>
    <w:p w:rsidR="002C1AB7" w:rsidRDefault="002C1AB7" w:rsidP="002C1AB7">
      <w:pPr>
        <w:tabs>
          <w:tab w:val="left" w:pos="112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t-EE"/>
        </w:rPr>
        <w:drawing>
          <wp:inline distT="0" distB="0" distL="0" distR="0">
            <wp:extent cx="5615396" cy="3245326"/>
            <wp:effectExtent l="19050" t="0" r="4354"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615396" cy="3245326"/>
                    </a:xfrm>
                    <a:prstGeom prst="rect">
                      <a:avLst/>
                    </a:prstGeom>
                    <a:noFill/>
                    <a:ln w="9525">
                      <a:noFill/>
                      <a:miter lim="800000"/>
                      <a:headEnd/>
                      <a:tailEnd/>
                    </a:ln>
                  </pic:spPr>
                </pic:pic>
              </a:graphicData>
            </a:graphic>
          </wp:inline>
        </w:drawing>
      </w:r>
      <w:r w:rsidR="00971695">
        <w:rPr>
          <w:rFonts w:ascii="Times New Roman" w:hAnsi="Times New Roman" w:cs="Times New Roman"/>
          <w:sz w:val="24"/>
          <w:szCs w:val="24"/>
        </w:rPr>
        <w:br/>
      </w:r>
      <w:r w:rsidR="00971695" w:rsidRPr="00BC3CE0">
        <w:rPr>
          <w:rFonts w:cs="Times New Roman"/>
          <w:i/>
        </w:rPr>
        <w:t xml:space="preserve">Allikas: </w:t>
      </w:r>
      <w:proofErr w:type="spellStart"/>
      <w:r w:rsidR="00971695" w:rsidRPr="00BC3CE0">
        <w:rPr>
          <w:rFonts w:cs="Times New Roman"/>
          <w:i/>
        </w:rPr>
        <w:t>Minimum</w:t>
      </w:r>
      <w:proofErr w:type="spellEnd"/>
      <w:r w:rsidR="00971695" w:rsidRPr="00BC3CE0">
        <w:rPr>
          <w:rFonts w:cs="Times New Roman"/>
          <w:i/>
        </w:rPr>
        <w:t xml:space="preserve"> </w:t>
      </w:r>
      <w:proofErr w:type="spellStart"/>
      <w:r w:rsidR="00971695" w:rsidRPr="00BC3CE0">
        <w:rPr>
          <w:rFonts w:cs="Times New Roman"/>
          <w:i/>
        </w:rPr>
        <w:t>wages</w:t>
      </w:r>
      <w:proofErr w:type="spellEnd"/>
      <w:r w:rsidR="00971695" w:rsidRPr="00BC3CE0">
        <w:rPr>
          <w:rFonts w:cs="Times New Roman"/>
          <w:i/>
        </w:rPr>
        <w:t xml:space="preserve"> </w:t>
      </w:r>
      <w:proofErr w:type="spellStart"/>
      <w:r w:rsidR="00971695" w:rsidRPr="00BC3CE0">
        <w:rPr>
          <w:rFonts w:cs="Times New Roman"/>
          <w:i/>
        </w:rPr>
        <w:t>a</w:t>
      </w:r>
      <w:r w:rsidR="00971695">
        <w:rPr>
          <w:rFonts w:cs="Times New Roman"/>
          <w:i/>
        </w:rPr>
        <w:t>f</w:t>
      </w:r>
      <w:r w:rsidR="00971695" w:rsidRPr="00BC3CE0">
        <w:rPr>
          <w:rFonts w:cs="Times New Roman"/>
          <w:i/>
        </w:rPr>
        <w:t>ter</w:t>
      </w:r>
      <w:proofErr w:type="spellEnd"/>
      <w:r w:rsidR="00971695" w:rsidRPr="00BC3CE0">
        <w:rPr>
          <w:rFonts w:cs="Times New Roman"/>
          <w:i/>
        </w:rPr>
        <w:t xml:space="preserve"> </w:t>
      </w:r>
      <w:proofErr w:type="spellStart"/>
      <w:r w:rsidR="00971695" w:rsidRPr="00BC3CE0">
        <w:rPr>
          <w:rFonts w:cs="Times New Roman"/>
          <w:i/>
        </w:rPr>
        <w:t>the</w:t>
      </w:r>
      <w:proofErr w:type="spellEnd"/>
      <w:r w:rsidR="00971695" w:rsidRPr="00BC3CE0">
        <w:rPr>
          <w:rFonts w:cs="Times New Roman"/>
          <w:i/>
        </w:rPr>
        <w:t xml:space="preserve"> </w:t>
      </w:r>
      <w:proofErr w:type="spellStart"/>
      <w:r w:rsidR="00971695" w:rsidRPr="00BC3CE0">
        <w:rPr>
          <w:rFonts w:cs="Times New Roman"/>
          <w:i/>
        </w:rPr>
        <w:t>crisis</w:t>
      </w:r>
      <w:proofErr w:type="spellEnd"/>
      <w:r w:rsidR="00971695" w:rsidRPr="00BC3CE0">
        <w:rPr>
          <w:rFonts w:cs="Times New Roman"/>
          <w:i/>
        </w:rPr>
        <w:t xml:space="preserve">: </w:t>
      </w:r>
      <w:proofErr w:type="spellStart"/>
      <w:r w:rsidR="00971695" w:rsidRPr="00BC3CE0">
        <w:rPr>
          <w:rFonts w:cs="Times New Roman"/>
          <w:i/>
        </w:rPr>
        <w:t>Making</w:t>
      </w:r>
      <w:proofErr w:type="spellEnd"/>
      <w:r w:rsidR="00971695" w:rsidRPr="00BC3CE0">
        <w:rPr>
          <w:rFonts w:cs="Times New Roman"/>
          <w:i/>
        </w:rPr>
        <w:t xml:space="preserve"> </w:t>
      </w:r>
      <w:proofErr w:type="spellStart"/>
      <w:r w:rsidR="00971695" w:rsidRPr="00BC3CE0">
        <w:rPr>
          <w:rFonts w:cs="Times New Roman"/>
          <w:i/>
        </w:rPr>
        <w:t>them</w:t>
      </w:r>
      <w:proofErr w:type="spellEnd"/>
      <w:r w:rsidR="00971695" w:rsidRPr="00BC3CE0">
        <w:rPr>
          <w:rFonts w:cs="Times New Roman"/>
          <w:i/>
        </w:rPr>
        <w:t xml:space="preserve"> </w:t>
      </w:r>
      <w:proofErr w:type="spellStart"/>
      <w:r w:rsidR="00971695" w:rsidRPr="00BC3CE0">
        <w:rPr>
          <w:rFonts w:cs="Times New Roman"/>
          <w:i/>
        </w:rPr>
        <w:t>pay</w:t>
      </w:r>
      <w:proofErr w:type="spellEnd"/>
      <w:r w:rsidR="00971695" w:rsidRPr="00BC3CE0">
        <w:rPr>
          <w:rFonts w:cs="Times New Roman"/>
          <w:i/>
        </w:rPr>
        <w:t xml:space="preserve">, </w:t>
      </w:r>
      <w:r w:rsidR="00971695">
        <w:rPr>
          <w:rFonts w:cs="Times New Roman"/>
          <w:i/>
        </w:rPr>
        <w:t xml:space="preserve">OECD </w:t>
      </w:r>
      <w:r w:rsidR="00971695" w:rsidRPr="00BC3CE0">
        <w:rPr>
          <w:rFonts w:cs="Times New Roman"/>
          <w:i/>
        </w:rPr>
        <w:t>2015</w:t>
      </w:r>
    </w:p>
    <w:p w:rsidR="00971695" w:rsidRDefault="00971695" w:rsidP="002C1AB7">
      <w:pPr>
        <w:tabs>
          <w:tab w:val="left" w:pos="1125"/>
        </w:tabs>
        <w:autoSpaceDE w:val="0"/>
        <w:autoSpaceDN w:val="0"/>
        <w:adjustRightInd w:val="0"/>
        <w:spacing w:after="0" w:line="240" w:lineRule="auto"/>
        <w:rPr>
          <w:rFonts w:ascii="Times New Roman" w:hAnsi="Times New Roman" w:cs="Times New Roman"/>
          <w:sz w:val="24"/>
          <w:szCs w:val="24"/>
        </w:rPr>
      </w:pPr>
    </w:p>
    <w:p w:rsidR="00971695" w:rsidRDefault="00971695" w:rsidP="009716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Joonisel 3 on ELi riigid, kus kehtib riiklik miinimumpalk, reastatud miinimumpalga ostujõu alusel (punased tulbad)</w:t>
      </w:r>
      <w:r w:rsidR="0032287A">
        <w:rPr>
          <w:rFonts w:ascii="Times New Roman" w:hAnsi="Times New Roman" w:cs="Times New Roman"/>
          <w:sz w:val="24"/>
          <w:szCs w:val="24"/>
        </w:rPr>
        <w:t xml:space="preserve"> ja lisaks on toodud ka miinimumpalga nominaalsed tasemed (sinised tulbad)</w:t>
      </w:r>
      <w:r>
        <w:rPr>
          <w:rFonts w:ascii="Times New Roman" w:hAnsi="Times New Roman" w:cs="Times New Roman"/>
          <w:sz w:val="24"/>
          <w:szCs w:val="24"/>
        </w:rPr>
        <w:t xml:space="preserve">. </w:t>
      </w:r>
      <w:r w:rsidR="0032287A">
        <w:rPr>
          <w:rFonts w:ascii="Times New Roman" w:hAnsi="Times New Roman" w:cs="Times New Roman"/>
          <w:sz w:val="24"/>
          <w:szCs w:val="24"/>
        </w:rPr>
        <w:t>M</w:t>
      </w:r>
      <w:r>
        <w:rPr>
          <w:rFonts w:ascii="Times New Roman" w:hAnsi="Times New Roman" w:cs="Times New Roman"/>
          <w:sz w:val="24"/>
          <w:szCs w:val="24"/>
        </w:rPr>
        <w:t xml:space="preserve">ärkimisväärselt madalam on </w:t>
      </w:r>
      <w:r w:rsidR="0032287A">
        <w:rPr>
          <w:rFonts w:ascii="Times New Roman" w:hAnsi="Times New Roman" w:cs="Times New Roman"/>
          <w:sz w:val="24"/>
          <w:szCs w:val="24"/>
        </w:rPr>
        <w:t xml:space="preserve">Eestiga võrreldes </w:t>
      </w:r>
      <w:r>
        <w:rPr>
          <w:rFonts w:ascii="Times New Roman" w:hAnsi="Times New Roman" w:cs="Times New Roman"/>
          <w:sz w:val="24"/>
          <w:szCs w:val="24"/>
        </w:rPr>
        <w:t>miinimumpalga reaalne ostujõud vaid Rumeenias ja Bulgaarias</w:t>
      </w:r>
      <w:r w:rsidR="0032287A">
        <w:rPr>
          <w:rFonts w:ascii="Times New Roman" w:hAnsi="Times New Roman" w:cs="Times New Roman"/>
          <w:sz w:val="24"/>
          <w:szCs w:val="24"/>
        </w:rPr>
        <w:t>.</w:t>
      </w:r>
      <w:r>
        <w:rPr>
          <w:rFonts w:ascii="Times New Roman" w:hAnsi="Times New Roman" w:cs="Times New Roman"/>
          <w:sz w:val="24"/>
          <w:szCs w:val="24"/>
        </w:rPr>
        <w:t xml:space="preserve"> </w:t>
      </w:r>
      <w:r w:rsidR="0032287A">
        <w:rPr>
          <w:rFonts w:ascii="Times New Roman" w:hAnsi="Times New Roman" w:cs="Times New Roman"/>
          <w:sz w:val="24"/>
          <w:szCs w:val="24"/>
        </w:rPr>
        <w:t>K</w:t>
      </w:r>
      <w:r>
        <w:rPr>
          <w:rFonts w:ascii="Times New Roman" w:hAnsi="Times New Roman" w:cs="Times New Roman"/>
          <w:sz w:val="24"/>
          <w:szCs w:val="24"/>
        </w:rPr>
        <w:t>una Eesti hinnatase on näiteks Läti ja Leeduga võr</w:t>
      </w:r>
      <w:r w:rsidR="0032287A">
        <w:rPr>
          <w:rFonts w:ascii="Times New Roman" w:hAnsi="Times New Roman" w:cs="Times New Roman"/>
          <w:sz w:val="24"/>
          <w:szCs w:val="24"/>
        </w:rPr>
        <w:t>reldes mõnevõrra kõrgem, siis on Eesti miinimumpalga ostujõud vaid marginaalselt lõunanaabritest kõrgem.</w:t>
      </w:r>
    </w:p>
    <w:p w:rsidR="00971695" w:rsidRDefault="00971695" w:rsidP="00971695">
      <w:pPr>
        <w:autoSpaceDE w:val="0"/>
        <w:autoSpaceDN w:val="0"/>
        <w:adjustRightInd w:val="0"/>
        <w:spacing w:after="0" w:line="240" w:lineRule="auto"/>
        <w:rPr>
          <w:rFonts w:ascii="Times New Roman" w:hAnsi="Times New Roman" w:cs="Times New Roman"/>
          <w:sz w:val="24"/>
          <w:szCs w:val="24"/>
        </w:rPr>
      </w:pPr>
    </w:p>
    <w:p w:rsidR="00971695" w:rsidRDefault="00971695" w:rsidP="0097169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Seega on Eesti miinimumpalk rahvusvahelises võrdluses küllaltki madal nii kohaliku keskmise palga suhtes kui ostujõu arvestuses.</w:t>
      </w:r>
    </w:p>
    <w:p w:rsidR="00971695" w:rsidRDefault="00971695" w:rsidP="002C1AB7">
      <w:pPr>
        <w:tabs>
          <w:tab w:val="left" w:pos="1125"/>
        </w:tabs>
        <w:autoSpaceDE w:val="0"/>
        <w:autoSpaceDN w:val="0"/>
        <w:adjustRightInd w:val="0"/>
        <w:spacing w:after="0" w:line="240" w:lineRule="auto"/>
        <w:rPr>
          <w:rFonts w:ascii="Times New Roman" w:hAnsi="Times New Roman" w:cs="Times New Roman"/>
          <w:sz w:val="24"/>
          <w:szCs w:val="24"/>
        </w:rPr>
      </w:pPr>
    </w:p>
    <w:p w:rsidR="00971695" w:rsidRDefault="00971695">
      <w:pPr>
        <w:rPr>
          <w:rFonts w:cs="Times New Roman"/>
          <w:b/>
        </w:rPr>
      </w:pPr>
      <w:r>
        <w:rPr>
          <w:rFonts w:cs="Times New Roman"/>
          <w:b/>
        </w:rPr>
        <w:br w:type="page"/>
      </w:r>
    </w:p>
    <w:p w:rsidR="00971695" w:rsidRDefault="00971695" w:rsidP="00971695">
      <w:pPr>
        <w:tabs>
          <w:tab w:val="left" w:pos="1125"/>
        </w:tabs>
        <w:autoSpaceDE w:val="0"/>
        <w:autoSpaceDN w:val="0"/>
        <w:adjustRightInd w:val="0"/>
        <w:spacing w:after="0" w:line="240" w:lineRule="auto"/>
        <w:rPr>
          <w:rFonts w:ascii="Times New Roman" w:hAnsi="Times New Roman" w:cs="Times New Roman"/>
          <w:sz w:val="24"/>
          <w:szCs w:val="24"/>
        </w:rPr>
      </w:pPr>
      <w:r w:rsidRPr="0043273A">
        <w:rPr>
          <w:rFonts w:cs="Times New Roman"/>
          <w:b/>
        </w:rPr>
        <w:lastRenderedPageBreak/>
        <w:t xml:space="preserve">Joonis </w:t>
      </w:r>
      <w:r>
        <w:rPr>
          <w:rFonts w:cs="Times New Roman"/>
          <w:b/>
        </w:rPr>
        <w:t>3</w:t>
      </w:r>
      <w:r w:rsidRPr="0043273A">
        <w:rPr>
          <w:rFonts w:cs="Times New Roman"/>
          <w:b/>
        </w:rPr>
        <w:t xml:space="preserve">. </w:t>
      </w:r>
      <w:r>
        <w:rPr>
          <w:rFonts w:cs="Times New Roman"/>
          <w:b/>
        </w:rPr>
        <w:t>Nominaalne miinimumpalk ja selle ostujõud ELis 2015, eurodes ja hinnatasemega korrigeeritud eurodes.</w:t>
      </w:r>
    </w:p>
    <w:p w:rsidR="00971695" w:rsidRDefault="00971695" w:rsidP="00971695">
      <w:pPr>
        <w:tabs>
          <w:tab w:val="left" w:pos="1125"/>
        </w:tabs>
        <w:autoSpaceDE w:val="0"/>
        <w:autoSpaceDN w:val="0"/>
        <w:adjustRightInd w:val="0"/>
        <w:spacing w:after="0" w:line="240" w:lineRule="auto"/>
        <w:rPr>
          <w:rFonts w:ascii="Times New Roman" w:hAnsi="Times New Roman" w:cs="Times New Roman"/>
          <w:sz w:val="24"/>
          <w:szCs w:val="24"/>
        </w:rPr>
      </w:pPr>
      <w:r w:rsidRPr="000F4FCF">
        <w:rPr>
          <w:rFonts w:ascii="Times New Roman" w:hAnsi="Times New Roman" w:cs="Times New Roman"/>
          <w:noProof/>
          <w:sz w:val="24"/>
          <w:szCs w:val="24"/>
          <w:lang w:eastAsia="et-EE"/>
        </w:rPr>
        <w:drawing>
          <wp:inline distT="0" distB="0" distL="0" distR="0">
            <wp:extent cx="5760720" cy="3986448"/>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1695" w:rsidRPr="002C1AB7" w:rsidRDefault="00971695" w:rsidP="00971695">
      <w:pPr>
        <w:tabs>
          <w:tab w:val="left" w:pos="1125"/>
        </w:tabs>
        <w:autoSpaceDE w:val="0"/>
        <w:autoSpaceDN w:val="0"/>
        <w:adjustRightInd w:val="0"/>
        <w:spacing w:after="0" w:line="240" w:lineRule="auto"/>
        <w:rPr>
          <w:rFonts w:ascii="Times New Roman" w:hAnsi="Times New Roman" w:cs="Times New Roman"/>
          <w:sz w:val="24"/>
          <w:szCs w:val="24"/>
        </w:rPr>
      </w:pPr>
      <w:r w:rsidRPr="00BC3CE0">
        <w:rPr>
          <w:rFonts w:cs="Times New Roman"/>
          <w:i/>
        </w:rPr>
        <w:t xml:space="preserve">Allikas: </w:t>
      </w:r>
      <w:proofErr w:type="spellStart"/>
      <w:r>
        <w:rPr>
          <w:rFonts w:cs="Times New Roman"/>
          <w:i/>
        </w:rPr>
        <w:t>Eurostat</w:t>
      </w:r>
      <w:proofErr w:type="spellEnd"/>
    </w:p>
    <w:p w:rsidR="00971695" w:rsidRDefault="00971695" w:rsidP="00971695">
      <w:pPr>
        <w:tabs>
          <w:tab w:val="left" w:pos="1125"/>
        </w:tabs>
        <w:autoSpaceDE w:val="0"/>
        <w:autoSpaceDN w:val="0"/>
        <w:adjustRightInd w:val="0"/>
        <w:spacing w:after="0" w:line="240" w:lineRule="auto"/>
        <w:rPr>
          <w:rFonts w:ascii="Times New Roman" w:hAnsi="Times New Roman" w:cs="Times New Roman"/>
          <w:sz w:val="24"/>
          <w:szCs w:val="24"/>
        </w:rPr>
      </w:pPr>
    </w:p>
    <w:p w:rsidR="00971695" w:rsidRPr="002C1AB7" w:rsidRDefault="00971695" w:rsidP="002C1AB7">
      <w:pPr>
        <w:tabs>
          <w:tab w:val="left" w:pos="1125"/>
        </w:tabs>
        <w:autoSpaceDE w:val="0"/>
        <w:autoSpaceDN w:val="0"/>
        <w:adjustRightInd w:val="0"/>
        <w:spacing w:after="0" w:line="240" w:lineRule="auto"/>
        <w:rPr>
          <w:rFonts w:ascii="Times New Roman" w:hAnsi="Times New Roman" w:cs="Times New Roman"/>
          <w:sz w:val="24"/>
          <w:szCs w:val="24"/>
        </w:rPr>
      </w:pPr>
    </w:p>
    <w:p w:rsidR="002C1AB7" w:rsidRPr="002C1AB7" w:rsidRDefault="002C1AB7" w:rsidP="002C1AB7">
      <w:pPr>
        <w:tabs>
          <w:tab w:val="left" w:pos="1125"/>
        </w:tabs>
        <w:autoSpaceDE w:val="0"/>
        <w:autoSpaceDN w:val="0"/>
        <w:adjustRightInd w:val="0"/>
        <w:spacing w:after="0" w:line="240" w:lineRule="auto"/>
        <w:rPr>
          <w:rFonts w:ascii="Times New Roman" w:hAnsi="Times New Roman" w:cs="Times New Roman"/>
          <w:sz w:val="24"/>
          <w:szCs w:val="24"/>
        </w:rPr>
      </w:pPr>
    </w:p>
    <w:p w:rsidR="0058545C" w:rsidRPr="00AE6E52" w:rsidRDefault="0058545C" w:rsidP="0058545C">
      <w:pPr>
        <w:pStyle w:val="ListParagraph"/>
        <w:numPr>
          <w:ilvl w:val="1"/>
          <w:numId w:val="1"/>
        </w:numPr>
        <w:autoSpaceDE w:val="0"/>
        <w:autoSpaceDN w:val="0"/>
        <w:adjustRightInd w:val="0"/>
        <w:spacing w:after="0" w:line="240" w:lineRule="auto"/>
        <w:rPr>
          <w:rFonts w:ascii="Times New Roman" w:hAnsi="Times New Roman" w:cs="Times New Roman"/>
          <w:b/>
          <w:sz w:val="24"/>
          <w:szCs w:val="24"/>
        </w:rPr>
      </w:pPr>
      <w:r w:rsidRPr="00AE6E52">
        <w:rPr>
          <w:rFonts w:ascii="Times New Roman" w:hAnsi="Times New Roman" w:cs="Times New Roman"/>
          <w:b/>
          <w:sz w:val="24"/>
          <w:szCs w:val="24"/>
        </w:rPr>
        <w:t xml:space="preserve"> Eesti miinimumpalk </w:t>
      </w:r>
      <w:r w:rsidR="003D0A2D">
        <w:rPr>
          <w:rFonts w:ascii="Times New Roman" w:hAnsi="Times New Roman" w:cs="Times New Roman"/>
          <w:b/>
          <w:sz w:val="24"/>
          <w:szCs w:val="24"/>
        </w:rPr>
        <w:t xml:space="preserve">pikemas </w:t>
      </w:r>
      <w:r w:rsidRPr="00AE6E52">
        <w:rPr>
          <w:rFonts w:ascii="Times New Roman" w:hAnsi="Times New Roman" w:cs="Times New Roman"/>
          <w:b/>
          <w:sz w:val="24"/>
          <w:szCs w:val="24"/>
        </w:rPr>
        <w:t xml:space="preserve">ajalises </w:t>
      </w:r>
      <w:r w:rsidR="003D0A2D">
        <w:rPr>
          <w:rFonts w:ascii="Times New Roman" w:hAnsi="Times New Roman" w:cs="Times New Roman"/>
          <w:b/>
          <w:sz w:val="24"/>
          <w:szCs w:val="24"/>
        </w:rPr>
        <w:t>vaates</w:t>
      </w:r>
    </w:p>
    <w:p w:rsidR="005E388F" w:rsidRDefault="005E388F" w:rsidP="0058545C">
      <w:pPr>
        <w:autoSpaceDE w:val="0"/>
        <w:autoSpaceDN w:val="0"/>
        <w:adjustRightInd w:val="0"/>
        <w:spacing w:after="0" w:line="240" w:lineRule="auto"/>
        <w:rPr>
          <w:rFonts w:ascii="Times New Roman" w:hAnsi="Times New Roman" w:cs="Times New Roman"/>
          <w:sz w:val="24"/>
          <w:szCs w:val="24"/>
        </w:rPr>
      </w:pPr>
    </w:p>
    <w:p w:rsidR="0058545C" w:rsidRDefault="0058545C" w:rsidP="005854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Eestis on miinimumpalga suhe keskmisesse palka </w:t>
      </w:r>
      <w:r w:rsidR="00797086">
        <w:rPr>
          <w:rFonts w:ascii="Times New Roman" w:hAnsi="Times New Roman" w:cs="Times New Roman"/>
          <w:sz w:val="24"/>
          <w:szCs w:val="24"/>
        </w:rPr>
        <w:t xml:space="preserve">sajandi algusest alates vahelduva eduga tõusnud ja </w:t>
      </w:r>
      <w:r>
        <w:rPr>
          <w:rFonts w:ascii="Times New Roman" w:hAnsi="Times New Roman" w:cs="Times New Roman"/>
          <w:sz w:val="24"/>
          <w:szCs w:val="24"/>
        </w:rPr>
        <w:t>viimastel aastatel on miinimumpalga kasv</w:t>
      </w:r>
      <w:r w:rsidR="00797086">
        <w:rPr>
          <w:rFonts w:ascii="Times New Roman" w:hAnsi="Times New Roman" w:cs="Times New Roman"/>
          <w:sz w:val="24"/>
          <w:szCs w:val="24"/>
        </w:rPr>
        <w:t xml:space="preserve"> taas ületanud keskmise palga kasvu. </w:t>
      </w:r>
      <w:r w:rsidR="00AE6E52">
        <w:rPr>
          <w:rFonts w:ascii="Times New Roman" w:hAnsi="Times New Roman" w:cs="Times New Roman"/>
          <w:sz w:val="24"/>
          <w:szCs w:val="24"/>
        </w:rPr>
        <w:t>2015. aastal moodustas miinimumpalk riigi keskmisest 37%</w:t>
      </w:r>
      <w:r w:rsidR="00FA7D24">
        <w:rPr>
          <w:rFonts w:ascii="Times New Roman" w:hAnsi="Times New Roman" w:cs="Times New Roman"/>
          <w:sz w:val="24"/>
          <w:szCs w:val="24"/>
        </w:rPr>
        <w:t xml:space="preserve"> (200</w:t>
      </w:r>
      <w:r w:rsidR="00797086">
        <w:rPr>
          <w:rFonts w:ascii="Times New Roman" w:hAnsi="Times New Roman" w:cs="Times New Roman"/>
          <w:sz w:val="24"/>
          <w:szCs w:val="24"/>
        </w:rPr>
        <w:t>0</w:t>
      </w:r>
      <w:r w:rsidR="00FA7D24">
        <w:rPr>
          <w:rFonts w:ascii="Times New Roman" w:hAnsi="Times New Roman" w:cs="Times New Roman"/>
          <w:sz w:val="24"/>
          <w:szCs w:val="24"/>
        </w:rPr>
        <w:t xml:space="preserve">. aastal </w:t>
      </w:r>
      <w:r w:rsidR="00797086">
        <w:rPr>
          <w:rFonts w:ascii="Times New Roman" w:hAnsi="Times New Roman" w:cs="Times New Roman"/>
          <w:sz w:val="24"/>
          <w:szCs w:val="24"/>
        </w:rPr>
        <w:t>28</w:t>
      </w:r>
      <w:r w:rsidR="00FA7D24">
        <w:rPr>
          <w:rFonts w:ascii="Times New Roman" w:hAnsi="Times New Roman" w:cs="Times New Roman"/>
          <w:sz w:val="24"/>
          <w:szCs w:val="24"/>
        </w:rPr>
        <w:t>%)</w:t>
      </w:r>
      <w:r w:rsidR="00AE6E52">
        <w:rPr>
          <w:rFonts w:ascii="Times New Roman" w:hAnsi="Times New Roman" w:cs="Times New Roman"/>
          <w:sz w:val="24"/>
          <w:szCs w:val="24"/>
        </w:rPr>
        <w:t xml:space="preserve">. </w:t>
      </w:r>
    </w:p>
    <w:p w:rsidR="00830606" w:rsidRDefault="00830606" w:rsidP="0058545C">
      <w:pPr>
        <w:autoSpaceDE w:val="0"/>
        <w:autoSpaceDN w:val="0"/>
        <w:adjustRightInd w:val="0"/>
        <w:spacing w:after="0" w:line="240" w:lineRule="auto"/>
        <w:rPr>
          <w:rFonts w:ascii="Times New Roman" w:hAnsi="Times New Roman" w:cs="Times New Roman"/>
          <w:sz w:val="24"/>
          <w:szCs w:val="24"/>
        </w:rPr>
      </w:pPr>
    </w:p>
    <w:p w:rsidR="00830606" w:rsidRPr="00830606" w:rsidRDefault="00830606" w:rsidP="0058545C">
      <w:pPr>
        <w:autoSpaceDE w:val="0"/>
        <w:autoSpaceDN w:val="0"/>
        <w:adjustRightInd w:val="0"/>
        <w:spacing w:after="0" w:line="240" w:lineRule="auto"/>
        <w:rPr>
          <w:rFonts w:cs="Times New Roman"/>
          <w:b/>
        </w:rPr>
      </w:pPr>
      <w:r w:rsidRPr="00830606">
        <w:rPr>
          <w:rFonts w:cs="Times New Roman"/>
          <w:b/>
        </w:rPr>
        <w:t>Tabel 1. Eesti keskmine palk ja töötasu alammäär 200</w:t>
      </w:r>
      <w:r w:rsidR="00797086">
        <w:rPr>
          <w:rFonts w:cs="Times New Roman"/>
          <w:b/>
        </w:rPr>
        <w:t>0</w:t>
      </w:r>
      <w:r w:rsidRPr="00830606">
        <w:rPr>
          <w:rFonts w:cs="Times New Roman"/>
          <w:b/>
        </w:rPr>
        <w:t>–2015</w:t>
      </w:r>
      <w:r w:rsidR="005E388F">
        <w:rPr>
          <w:rFonts w:cs="Times New Roman"/>
          <w:b/>
        </w:rPr>
        <w:t>, eurot kuus</w:t>
      </w:r>
    </w:p>
    <w:tbl>
      <w:tblPr>
        <w:tblW w:w="4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0"/>
        <w:gridCol w:w="1317"/>
        <w:gridCol w:w="1405"/>
        <w:gridCol w:w="1418"/>
      </w:tblGrid>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Miinimumpalk</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Keskmine palk</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Miinimum</w:t>
            </w:r>
            <w:r>
              <w:rPr>
                <w:rFonts w:eastAsia="Times New Roman" w:cs="Times New Roman"/>
                <w:sz w:val="20"/>
                <w:szCs w:val="20"/>
                <w:lang w:eastAsia="et-EE"/>
              </w:rPr>
              <w:br/>
            </w:r>
            <w:r w:rsidRPr="00797086">
              <w:rPr>
                <w:rFonts w:eastAsia="Times New Roman" w:cs="Times New Roman"/>
                <w:sz w:val="20"/>
                <w:szCs w:val="20"/>
                <w:lang w:eastAsia="et-EE"/>
              </w:rPr>
              <w:t>/keskmine %</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2000</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89</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314</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28</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2001</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102</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352</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29</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2002</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118</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393</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30</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2003</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138</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430</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32</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2004</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159</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462</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34</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2005</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172</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514</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33</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2006</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192</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598</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32</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2007</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230</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720</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32</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2008</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278</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819</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34</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2009</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278</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781</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36</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2010</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278</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788</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35</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2011</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278</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831</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33</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2012</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290</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880</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33</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lastRenderedPageBreak/>
              <w:t>2013</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320</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948</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34</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2014</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355</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1000</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36</w:t>
            </w:r>
          </w:p>
        </w:tc>
      </w:tr>
      <w:tr w:rsidR="00797086" w:rsidRPr="00797086" w:rsidTr="00797086">
        <w:trPr>
          <w:trHeight w:val="255"/>
        </w:trPr>
        <w:tc>
          <w:tcPr>
            <w:tcW w:w="680" w:type="dxa"/>
            <w:shd w:val="clear" w:color="auto" w:fill="auto"/>
            <w:noWrap/>
            <w:vAlign w:val="bottom"/>
            <w:hideMark/>
          </w:tcPr>
          <w:p w:rsidR="00797086" w:rsidRPr="00797086" w:rsidRDefault="00797086" w:rsidP="00797086">
            <w:pPr>
              <w:spacing w:after="0" w:line="240" w:lineRule="auto"/>
              <w:rPr>
                <w:rFonts w:eastAsia="Times New Roman" w:cs="Times New Roman"/>
                <w:sz w:val="20"/>
                <w:szCs w:val="20"/>
                <w:lang w:eastAsia="et-EE"/>
              </w:rPr>
            </w:pPr>
            <w:r w:rsidRPr="00797086">
              <w:rPr>
                <w:rFonts w:eastAsia="Times New Roman" w:cs="Times New Roman"/>
                <w:sz w:val="20"/>
                <w:szCs w:val="20"/>
                <w:lang w:eastAsia="et-EE"/>
              </w:rPr>
              <w:t>2015</w:t>
            </w:r>
          </w:p>
        </w:tc>
        <w:tc>
          <w:tcPr>
            <w:tcW w:w="1317"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390</w:t>
            </w:r>
          </w:p>
        </w:tc>
        <w:tc>
          <w:tcPr>
            <w:tcW w:w="1405"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1050</w:t>
            </w:r>
          </w:p>
        </w:tc>
        <w:tc>
          <w:tcPr>
            <w:tcW w:w="1418" w:type="dxa"/>
            <w:shd w:val="clear" w:color="auto" w:fill="auto"/>
            <w:noWrap/>
            <w:vAlign w:val="bottom"/>
            <w:hideMark/>
          </w:tcPr>
          <w:p w:rsidR="00797086" w:rsidRPr="00797086" w:rsidRDefault="00797086" w:rsidP="00797086">
            <w:pPr>
              <w:spacing w:after="0" w:line="240" w:lineRule="auto"/>
              <w:jc w:val="right"/>
              <w:rPr>
                <w:rFonts w:eastAsia="Times New Roman" w:cs="Times New Roman"/>
                <w:sz w:val="20"/>
                <w:szCs w:val="20"/>
                <w:lang w:eastAsia="et-EE"/>
              </w:rPr>
            </w:pPr>
            <w:r w:rsidRPr="00797086">
              <w:rPr>
                <w:rFonts w:eastAsia="Times New Roman" w:cs="Times New Roman"/>
                <w:sz w:val="20"/>
                <w:szCs w:val="20"/>
                <w:lang w:eastAsia="et-EE"/>
              </w:rPr>
              <w:t>37</w:t>
            </w:r>
          </w:p>
        </w:tc>
      </w:tr>
    </w:tbl>
    <w:p w:rsidR="0058545C" w:rsidRDefault="0058545C" w:rsidP="0058545C">
      <w:pPr>
        <w:autoSpaceDE w:val="0"/>
        <w:autoSpaceDN w:val="0"/>
        <w:adjustRightInd w:val="0"/>
        <w:spacing w:after="0" w:line="240" w:lineRule="auto"/>
        <w:rPr>
          <w:rFonts w:ascii="Times New Roman" w:hAnsi="Times New Roman" w:cs="Times New Roman"/>
          <w:sz w:val="24"/>
          <w:szCs w:val="24"/>
        </w:rPr>
      </w:pPr>
    </w:p>
    <w:p w:rsidR="00797086" w:rsidRDefault="00797086" w:rsidP="0058545C">
      <w:pPr>
        <w:autoSpaceDE w:val="0"/>
        <w:autoSpaceDN w:val="0"/>
        <w:adjustRightInd w:val="0"/>
        <w:spacing w:after="0" w:line="240" w:lineRule="auto"/>
        <w:rPr>
          <w:rFonts w:ascii="Times New Roman" w:hAnsi="Times New Roman" w:cs="Times New Roman"/>
          <w:sz w:val="24"/>
          <w:szCs w:val="24"/>
        </w:rPr>
      </w:pPr>
    </w:p>
    <w:p w:rsidR="00797086" w:rsidRDefault="00797086" w:rsidP="0058545C">
      <w:pPr>
        <w:autoSpaceDE w:val="0"/>
        <w:autoSpaceDN w:val="0"/>
        <w:adjustRightInd w:val="0"/>
        <w:spacing w:after="0" w:line="240" w:lineRule="auto"/>
        <w:rPr>
          <w:rFonts w:ascii="Times New Roman" w:hAnsi="Times New Roman" w:cs="Times New Roman"/>
          <w:sz w:val="24"/>
          <w:szCs w:val="24"/>
        </w:rPr>
      </w:pPr>
    </w:p>
    <w:p w:rsidR="0058545C" w:rsidRDefault="004D69C9" w:rsidP="0058545C">
      <w:pPr>
        <w:pStyle w:val="ListParagraph"/>
        <w:numPr>
          <w:ilvl w:val="1"/>
          <w:numId w:val="1"/>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Tööjõukulu, b</w:t>
      </w:r>
      <w:r w:rsidR="006D040B">
        <w:rPr>
          <w:rFonts w:ascii="Times New Roman" w:hAnsi="Times New Roman" w:cs="Times New Roman"/>
          <w:b/>
          <w:sz w:val="24"/>
          <w:szCs w:val="24"/>
        </w:rPr>
        <w:t>rutopalk ja</w:t>
      </w:r>
      <w:r w:rsidR="00126583">
        <w:rPr>
          <w:rFonts w:ascii="Times New Roman" w:hAnsi="Times New Roman" w:cs="Times New Roman"/>
          <w:b/>
          <w:sz w:val="24"/>
          <w:szCs w:val="24"/>
        </w:rPr>
        <w:t xml:space="preserve"> </w:t>
      </w:r>
      <w:r w:rsidR="00AE6E52">
        <w:rPr>
          <w:rFonts w:ascii="Times New Roman" w:hAnsi="Times New Roman" w:cs="Times New Roman"/>
          <w:b/>
          <w:sz w:val="24"/>
          <w:szCs w:val="24"/>
        </w:rPr>
        <w:t>netopalk</w:t>
      </w:r>
    </w:p>
    <w:p w:rsidR="000D2BCE" w:rsidRDefault="000D2BCE" w:rsidP="000D2BCE">
      <w:pPr>
        <w:autoSpaceDE w:val="0"/>
        <w:autoSpaceDN w:val="0"/>
        <w:adjustRightInd w:val="0"/>
        <w:spacing w:after="0" w:line="240" w:lineRule="auto"/>
        <w:rPr>
          <w:rFonts w:ascii="Times New Roman" w:hAnsi="Times New Roman" w:cs="Times New Roman"/>
          <w:b/>
          <w:sz w:val="24"/>
          <w:szCs w:val="24"/>
        </w:rPr>
      </w:pPr>
    </w:p>
    <w:p w:rsidR="00023252" w:rsidRDefault="009869CB" w:rsidP="000D2B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Miinimumpalga </w:t>
      </w:r>
      <w:r w:rsidR="00A265F2">
        <w:rPr>
          <w:rFonts w:ascii="Times New Roman" w:hAnsi="Times New Roman" w:cs="Times New Roman"/>
          <w:sz w:val="24"/>
          <w:szCs w:val="24"/>
        </w:rPr>
        <w:t xml:space="preserve">eesmärk on garanteerida töötavale inimesele </w:t>
      </w:r>
      <w:r w:rsidR="00076C9C">
        <w:rPr>
          <w:rFonts w:ascii="Times New Roman" w:hAnsi="Times New Roman" w:cs="Times New Roman"/>
          <w:sz w:val="24"/>
          <w:szCs w:val="24"/>
        </w:rPr>
        <w:t>inimväärne</w:t>
      </w:r>
      <w:r w:rsidR="00A265F2">
        <w:rPr>
          <w:rFonts w:ascii="Times New Roman" w:hAnsi="Times New Roman" w:cs="Times New Roman"/>
          <w:sz w:val="24"/>
          <w:szCs w:val="24"/>
        </w:rPr>
        <w:t xml:space="preserve"> sissetuleku</w:t>
      </w:r>
      <w:r w:rsidR="00032135">
        <w:rPr>
          <w:rFonts w:ascii="Times New Roman" w:hAnsi="Times New Roman" w:cs="Times New Roman"/>
          <w:sz w:val="24"/>
          <w:szCs w:val="24"/>
        </w:rPr>
        <w:t xml:space="preserve"> </w:t>
      </w:r>
      <w:r w:rsidR="00A265F2">
        <w:rPr>
          <w:rFonts w:ascii="Times New Roman" w:hAnsi="Times New Roman" w:cs="Times New Roman"/>
          <w:sz w:val="24"/>
          <w:szCs w:val="24"/>
        </w:rPr>
        <w:t xml:space="preserve">tase. Töötaja seisukohast on oluline netopalk ja tööandja seisukohast </w:t>
      </w:r>
      <w:r w:rsidR="00415184">
        <w:rPr>
          <w:rFonts w:ascii="Times New Roman" w:hAnsi="Times New Roman" w:cs="Times New Roman"/>
          <w:sz w:val="24"/>
          <w:szCs w:val="24"/>
        </w:rPr>
        <w:t xml:space="preserve">palgakulu koos kõigi </w:t>
      </w:r>
      <w:r w:rsidR="00ED3CBF">
        <w:rPr>
          <w:rFonts w:ascii="Times New Roman" w:hAnsi="Times New Roman" w:cs="Times New Roman"/>
          <w:sz w:val="24"/>
          <w:szCs w:val="24"/>
        </w:rPr>
        <w:t>tööjõu</w:t>
      </w:r>
      <w:r w:rsidR="00415184">
        <w:rPr>
          <w:rFonts w:ascii="Times New Roman" w:hAnsi="Times New Roman" w:cs="Times New Roman"/>
          <w:sz w:val="24"/>
          <w:szCs w:val="24"/>
        </w:rPr>
        <w:t>maksudega</w:t>
      </w:r>
      <w:r w:rsidR="00A265F2">
        <w:rPr>
          <w:rFonts w:ascii="Times New Roman" w:hAnsi="Times New Roman" w:cs="Times New Roman"/>
          <w:sz w:val="24"/>
          <w:szCs w:val="24"/>
        </w:rPr>
        <w:t xml:space="preserve">. </w:t>
      </w:r>
    </w:p>
    <w:p w:rsidR="00024009" w:rsidRDefault="00024009" w:rsidP="000D2BCE">
      <w:pPr>
        <w:autoSpaceDE w:val="0"/>
        <w:autoSpaceDN w:val="0"/>
        <w:adjustRightInd w:val="0"/>
        <w:spacing w:after="0" w:line="240" w:lineRule="auto"/>
        <w:rPr>
          <w:rFonts w:ascii="Times New Roman" w:hAnsi="Times New Roman" w:cs="Times New Roman"/>
          <w:sz w:val="24"/>
          <w:szCs w:val="24"/>
        </w:rPr>
      </w:pPr>
    </w:p>
    <w:p w:rsidR="00024009" w:rsidRDefault="001564CB" w:rsidP="000D2B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Tööandja minimaalse palgakulu</w:t>
      </w:r>
      <w:r w:rsidR="00024009">
        <w:rPr>
          <w:rFonts w:ascii="Times New Roman" w:hAnsi="Times New Roman" w:cs="Times New Roman"/>
          <w:sz w:val="24"/>
          <w:szCs w:val="24"/>
        </w:rPr>
        <w:t xml:space="preserve"> tõstmine </w:t>
      </w:r>
      <w:r w:rsidR="00032135">
        <w:rPr>
          <w:rFonts w:ascii="Times New Roman" w:hAnsi="Times New Roman" w:cs="Times New Roman"/>
          <w:sz w:val="24"/>
          <w:szCs w:val="24"/>
        </w:rPr>
        <w:t>liiga kõrgele võib vähendada töökohtade loom</w:t>
      </w:r>
      <w:r>
        <w:rPr>
          <w:rFonts w:ascii="Times New Roman" w:hAnsi="Times New Roman" w:cs="Times New Roman"/>
          <w:sz w:val="24"/>
          <w:szCs w:val="24"/>
        </w:rPr>
        <w:t>ist või suurendada töötust ning sedakaudu hoopis halvendada väheste oskustega töötajate toimetulekut</w:t>
      </w:r>
      <w:r w:rsidR="006F5565">
        <w:rPr>
          <w:rFonts w:ascii="Times New Roman" w:hAnsi="Times New Roman" w:cs="Times New Roman"/>
          <w:sz w:val="24"/>
          <w:szCs w:val="24"/>
        </w:rPr>
        <w:t xml:space="preserve"> vähemalt lühikeses perspektiivis</w:t>
      </w:r>
      <w:r>
        <w:rPr>
          <w:rFonts w:ascii="Times New Roman" w:hAnsi="Times New Roman" w:cs="Times New Roman"/>
          <w:sz w:val="24"/>
          <w:szCs w:val="24"/>
        </w:rPr>
        <w:t xml:space="preserve">. </w:t>
      </w:r>
      <w:r w:rsidR="006A375C">
        <w:rPr>
          <w:rFonts w:ascii="Times New Roman" w:hAnsi="Times New Roman" w:cs="Times New Roman"/>
          <w:sz w:val="24"/>
          <w:szCs w:val="24"/>
        </w:rPr>
        <w:t xml:space="preserve">Samas võib miinimumpalga tõstmine ettevõtjate jaoks mugavast tasemest kõrgemale aidata </w:t>
      </w:r>
      <w:r w:rsidR="006F5565">
        <w:rPr>
          <w:rFonts w:ascii="Times New Roman" w:hAnsi="Times New Roman" w:cs="Times New Roman"/>
          <w:sz w:val="24"/>
          <w:szCs w:val="24"/>
        </w:rPr>
        <w:t xml:space="preserve">pikemas plaanis </w:t>
      </w:r>
      <w:r w:rsidR="006A375C">
        <w:rPr>
          <w:rFonts w:ascii="Times New Roman" w:hAnsi="Times New Roman" w:cs="Times New Roman"/>
          <w:sz w:val="24"/>
          <w:szCs w:val="24"/>
        </w:rPr>
        <w:t xml:space="preserve">kaasa ka positiivsetele muutustele majandusstruktuuris. Seetõttu on </w:t>
      </w:r>
      <w:r w:rsidR="006F5565">
        <w:rPr>
          <w:rFonts w:ascii="Times New Roman" w:hAnsi="Times New Roman" w:cs="Times New Roman"/>
          <w:sz w:val="24"/>
          <w:szCs w:val="24"/>
        </w:rPr>
        <w:t xml:space="preserve">miinimumpalga tõstmine mitmetahuline ja keeruline küsimus, kuid tööjõukulude hüppeline tõstmine on igal juhul ebasoovitav. </w:t>
      </w:r>
      <w:r>
        <w:rPr>
          <w:rFonts w:ascii="Times New Roman" w:hAnsi="Times New Roman" w:cs="Times New Roman"/>
          <w:sz w:val="24"/>
          <w:szCs w:val="24"/>
        </w:rPr>
        <w:t xml:space="preserve">Kas Eestis praegu kehtiv töötasu alammäär on </w:t>
      </w:r>
      <w:r w:rsidR="006A375C">
        <w:rPr>
          <w:rFonts w:ascii="Times New Roman" w:hAnsi="Times New Roman" w:cs="Times New Roman"/>
          <w:sz w:val="24"/>
          <w:szCs w:val="24"/>
        </w:rPr>
        <w:t xml:space="preserve">tööhõive seisukohast </w:t>
      </w:r>
      <w:r>
        <w:rPr>
          <w:rFonts w:ascii="Times New Roman" w:hAnsi="Times New Roman" w:cs="Times New Roman"/>
          <w:sz w:val="24"/>
          <w:szCs w:val="24"/>
        </w:rPr>
        <w:t xml:space="preserve">kriitilise piiri lähedal, </w:t>
      </w:r>
      <w:r w:rsidR="006A375C">
        <w:rPr>
          <w:rFonts w:ascii="Times New Roman" w:hAnsi="Times New Roman" w:cs="Times New Roman"/>
          <w:sz w:val="24"/>
          <w:szCs w:val="24"/>
        </w:rPr>
        <w:t xml:space="preserve">on raske </w:t>
      </w:r>
      <w:r w:rsidR="00FE3629">
        <w:rPr>
          <w:rFonts w:ascii="Times New Roman" w:hAnsi="Times New Roman" w:cs="Times New Roman"/>
          <w:sz w:val="24"/>
          <w:szCs w:val="24"/>
        </w:rPr>
        <w:t>öelda</w:t>
      </w:r>
      <w:r w:rsidR="006A375C">
        <w:rPr>
          <w:rFonts w:ascii="Times New Roman" w:hAnsi="Times New Roman" w:cs="Times New Roman"/>
          <w:sz w:val="24"/>
          <w:szCs w:val="24"/>
        </w:rPr>
        <w:t xml:space="preserve"> ja seda </w:t>
      </w:r>
      <w:r>
        <w:rPr>
          <w:rFonts w:ascii="Times New Roman" w:hAnsi="Times New Roman" w:cs="Times New Roman"/>
          <w:sz w:val="24"/>
          <w:szCs w:val="24"/>
        </w:rPr>
        <w:t>tuleks hinnata eraldi uuringuga.</w:t>
      </w:r>
      <w:r w:rsidR="006A375C">
        <w:rPr>
          <w:rFonts w:ascii="Times New Roman" w:hAnsi="Times New Roman" w:cs="Times New Roman"/>
          <w:sz w:val="24"/>
          <w:szCs w:val="24"/>
        </w:rPr>
        <w:t xml:space="preserve"> </w:t>
      </w:r>
    </w:p>
    <w:p w:rsidR="00023252" w:rsidRDefault="00023252" w:rsidP="000D2BCE">
      <w:pPr>
        <w:autoSpaceDE w:val="0"/>
        <w:autoSpaceDN w:val="0"/>
        <w:adjustRightInd w:val="0"/>
        <w:spacing w:after="0" w:line="240" w:lineRule="auto"/>
        <w:rPr>
          <w:rFonts w:ascii="Times New Roman" w:hAnsi="Times New Roman" w:cs="Times New Roman"/>
          <w:sz w:val="24"/>
          <w:szCs w:val="24"/>
        </w:rPr>
      </w:pPr>
    </w:p>
    <w:p w:rsidR="000D2BCE" w:rsidRDefault="00A265F2" w:rsidP="000D2B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Lisaks miinimumpalga sätestamisele on riigil võimalik mõjutada </w:t>
      </w:r>
      <w:r w:rsidR="00076C9C">
        <w:rPr>
          <w:rFonts w:ascii="Times New Roman" w:hAnsi="Times New Roman" w:cs="Times New Roman"/>
          <w:sz w:val="24"/>
          <w:szCs w:val="24"/>
        </w:rPr>
        <w:t xml:space="preserve">töötaja </w:t>
      </w:r>
      <w:r>
        <w:rPr>
          <w:rFonts w:ascii="Times New Roman" w:hAnsi="Times New Roman" w:cs="Times New Roman"/>
          <w:sz w:val="24"/>
          <w:szCs w:val="24"/>
        </w:rPr>
        <w:t>netopalga suurust ka maksupoliitikaga</w:t>
      </w:r>
      <w:r w:rsidR="005C1632">
        <w:rPr>
          <w:rFonts w:ascii="Times New Roman" w:hAnsi="Times New Roman" w:cs="Times New Roman"/>
          <w:sz w:val="24"/>
          <w:szCs w:val="24"/>
        </w:rPr>
        <w:t>. Näiteks</w:t>
      </w:r>
      <w:r>
        <w:rPr>
          <w:rFonts w:ascii="Times New Roman" w:hAnsi="Times New Roman" w:cs="Times New Roman"/>
          <w:sz w:val="24"/>
          <w:szCs w:val="24"/>
        </w:rPr>
        <w:t xml:space="preserve"> võib miinimumpalga vabastada kõigist tööjõumaksudest, </w:t>
      </w:r>
      <w:r w:rsidR="00415184">
        <w:rPr>
          <w:rFonts w:ascii="Times New Roman" w:hAnsi="Times New Roman" w:cs="Times New Roman"/>
          <w:sz w:val="24"/>
          <w:szCs w:val="24"/>
        </w:rPr>
        <w:t xml:space="preserve">kaasa arvatud tööandja maksudest, </w:t>
      </w:r>
      <w:r>
        <w:rPr>
          <w:rFonts w:ascii="Times New Roman" w:hAnsi="Times New Roman" w:cs="Times New Roman"/>
          <w:sz w:val="24"/>
          <w:szCs w:val="24"/>
        </w:rPr>
        <w:t>kui tööjõukulu on miinimumpalga tasemel juba nii kõrge, et selle edasine tõstmine</w:t>
      </w:r>
      <w:r w:rsidR="00415184">
        <w:rPr>
          <w:rFonts w:ascii="Times New Roman" w:hAnsi="Times New Roman" w:cs="Times New Roman"/>
          <w:sz w:val="24"/>
          <w:szCs w:val="24"/>
        </w:rPr>
        <w:t xml:space="preserve"> oleks majanduslikult </w:t>
      </w:r>
      <w:r w:rsidR="00024009">
        <w:rPr>
          <w:rFonts w:ascii="Times New Roman" w:hAnsi="Times New Roman" w:cs="Times New Roman"/>
          <w:sz w:val="24"/>
          <w:szCs w:val="24"/>
        </w:rPr>
        <w:t>põhjendamatu</w:t>
      </w:r>
      <w:r w:rsidR="00415184">
        <w:rPr>
          <w:rFonts w:ascii="Times New Roman" w:hAnsi="Times New Roman" w:cs="Times New Roman"/>
          <w:sz w:val="24"/>
          <w:szCs w:val="24"/>
        </w:rPr>
        <w:t xml:space="preserve"> ja võiks </w:t>
      </w:r>
      <w:r w:rsidR="00024009">
        <w:rPr>
          <w:rFonts w:ascii="Times New Roman" w:hAnsi="Times New Roman" w:cs="Times New Roman"/>
          <w:sz w:val="24"/>
          <w:szCs w:val="24"/>
        </w:rPr>
        <w:t>mõjuda negatiivselt tööhõivele</w:t>
      </w:r>
      <w:r w:rsidR="00415184">
        <w:rPr>
          <w:rFonts w:ascii="Times New Roman" w:hAnsi="Times New Roman" w:cs="Times New Roman"/>
          <w:sz w:val="24"/>
          <w:szCs w:val="24"/>
        </w:rPr>
        <w:t>.</w:t>
      </w:r>
    </w:p>
    <w:p w:rsidR="00126583" w:rsidRDefault="00126583" w:rsidP="000D2BCE">
      <w:pPr>
        <w:autoSpaceDE w:val="0"/>
        <w:autoSpaceDN w:val="0"/>
        <w:adjustRightInd w:val="0"/>
        <w:spacing w:after="0" w:line="240" w:lineRule="auto"/>
        <w:rPr>
          <w:rFonts w:ascii="Times New Roman" w:hAnsi="Times New Roman" w:cs="Times New Roman"/>
          <w:sz w:val="24"/>
          <w:szCs w:val="24"/>
        </w:rPr>
      </w:pPr>
    </w:p>
    <w:p w:rsidR="00415184" w:rsidRDefault="00415184" w:rsidP="000D2B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Tabel 2 illustreerib töötaja netopalga muutmise võimalusi </w:t>
      </w:r>
      <w:r w:rsidR="009666FB">
        <w:rPr>
          <w:rFonts w:ascii="Times New Roman" w:hAnsi="Times New Roman" w:cs="Times New Roman"/>
          <w:sz w:val="24"/>
          <w:szCs w:val="24"/>
        </w:rPr>
        <w:t xml:space="preserve">brutopalga alammäära tõstmise kaudu </w:t>
      </w:r>
      <w:r w:rsidR="00024009">
        <w:rPr>
          <w:rFonts w:ascii="Times New Roman" w:hAnsi="Times New Roman" w:cs="Times New Roman"/>
          <w:sz w:val="24"/>
          <w:szCs w:val="24"/>
        </w:rPr>
        <w:t xml:space="preserve">1000 euroni </w:t>
      </w:r>
      <w:r w:rsidR="009666FB">
        <w:rPr>
          <w:rFonts w:ascii="Times New Roman" w:hAnsi="Times New Roman" w:cs="Times New Roman"/>
          <w:sz w:val="24"/>
          <w:szCs w:val="24"/>
        </w:rPr>
        <w:t xml:space="preserve">praegusest maksusüsteemist lähtudes ja alampalga maksuvabaks tegemise abil. Nagu näha, võiks tööandja palgakulu </w:t>
      </w:r>
      <w:r w:rsidR="00024009">
        <w:rPr>
          <w:rFonts w:ascii="Times New Roman" w:hAnsi="Times New Roman" w:cs="Times New Roman"/>
          <w:sz w:val="24"/>
          <w:szCs w:val="24"/>
        </w:rPr>
        <w:t xml:space="preserve">praegusega võrreldes </w:t>
      </w:r>
      <w:r w:rsidR="009666FB">
        <w:rPr>
          <w:rFonts w:ascii="Times New Roman" w:hAnsi="Times New Roman" w:cs="Times New Roman"/>
          <w:sz w:val="24"/>
          <w:szCs w:val="24"/>
        </w:rPr>
        <w:t>suurendamata tõsta miinimumnetopalga praeguse 332 euro tasemelt 522 eur</w:t>
      </w:r>
      <w:r w:rsidR="00024009">
        <w:rPr>
          <w:rFonts w:ascii="Times New Roman" w:hAnsi="Times New Roman" w:cs="Times New Roman"/>
          <w:sz w:val="24"/>
          <w:szCs w:val="24"/>
        </w:rPr>
        <w:t>on</w:t>
      </w:r>
      <w:r w:rsidR="009666FB">
        <w:rPr>
          <w:rFonts w:ascii="Times New Roman" w:hAnsi="Times New Roman" w:cs="Times New Roman"/>
          <w:sz w:val="24"/>
          <w:szCs w:val="24"/>
        </w:rPr>
        <w:t xml:space="preserve">i ehk 57%. </w:t>
      </w:r>
    </w:p>
    <w:p w:rsidR="003D53D2" w:rsidRDefault="003D53D2" w:rsidP="000D2BCE">
      <w:pPr>
        <w:autoSpaceDE w:val="0"/>
        <w:autoSpaceDN w:val="0"/>
        <w:adjustRightInd w:val="0"/>
        <w:spacing w:after="0" w:line="240" w:lineRule="auto"/>
        <w:rPr>
          <w:rFonts w:ascii="Times New Roman" w:hAnsi="Times New Roman" w:cs="Times New Roman"/>
          <w:sz w:val="24"/>
          <w:szCs w:val="24"/>
        </w:rPr>
      </w:pPr>
    </w:p>
    <w:p w:rsidR="003D53D2" w:rsidRDefault="003D53D2" w:rsidP="000D2B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Arusaadavalt oleks sellisel jõulisel maksumuudatusel oluline </w:t>
      </w:r>
      <w:r w:rsidR="00024009">
        <w:rPr>
          <w:rFonts w:ascii="Times New Roman" w:hAnsi="Times New Roman" w:cs="Times New Roman"/>
          <w:sz w:val="24"/>
          <w:szCs w:val="24"/>
        </w:rPr>
        <w:t xml:space="preserve">negatiivne </w:t>
      </w:r>
      <w:r>
        <w:rPr>
          <w:rFonts w:ascii="Times New Roman" w:hAnsi="Times New Roman" w:cs="Times New Roman"/>
          <w:sz w:val="24"/>
          <w:szCs w:val="24"/>
        </w:rPr>
        <w:t>mõju maksulaekumistele, mida tuleks kompenseerida muude maksumeetmetega. Selle</w:t>
      </w:r>
      <w:r w:rsidR="00024009">
        <w:rPr>
          <w:rFonts w:ascii="Times New Roman" w:hAnsi="Times New Roman" w:cs="Times New Roman"/>
          <w:sz w:val="24"/>
          <w:szCs w:val="24"/>
        </w:rPr>
        <w:t xml:space="preserve"> äärmusliku</w:t>
      </w:r>
      <w:r>
        <w:rPr>
          <w:rFonts w:ascii="Times New Roman" w:hAnsi="Times New Roman" w:cs="Times New Roman"/>
          <w:sz w:val="24"/>
          <w:szCs w:val="24"/>
        </w:rPr>
        <w:t xml:space="preserve"> näite mõte on </w:t>
      </w:r>
      <w:r w:rsidR="00024009">
        <w:rPr>
          <w:rFonts w:ascii="Times New Roman" w:hAnsi="Times New Roman" w:cs="Times New Roman"/>
          <w:sz w:val="24"/>
          <w:szCs w:val="24"/>
        </w:rPr>
        <w:t>illustreerida</w:t>
      </w:r>
      <w:r>
        <w:rPr>
          <w:rFonts w:ascii="Times New Roman" w:hAnsi="Times New Roman" w:cs="Times New Roman"/>
          <w:sz w:val="24"/>
          <w:szCs w:val="24"/>
        </w:rPr>
        <w:t xml:space="preserve"> riigi teoreetilisi võimalusi </w:t>
      </w:r>
      <w:r w:rsidR="00024009">
        <w:rPr>
          <w:rFonts w:ascii="Times New Roman" w:hAnsi="Times New Roman" w:cs="Times New Roman"/>
          <w:sz w:val="24"/>
          <w:szCs w:val="24"/>
        </w:rPr>
        <w:t xml:space="preserve">madalapalgaliste netosissetulekute suurendamisel </w:t>
      </w:r>
      <w:r>
        <w:rPr>
          <w:rFonts w:ascii="Times New Roman" w:hAnsi="Times New Roman" w:cs="Times New Roman"/>
          <w:sz w:val="24"/>
          <w:szCs w:val="24"/>
        </w:rPr>
        <w:t xml:space="preserve">ilma </w:t>
      </w:r>
      <w:r w:rsidR="00024009">
        <w:rPr>
          <w:rFonts w:ascii="Times New Roman" w:hAnsi="Times New Roman" w:cs="Times New Roman"/>
          <w:sz w:val="24"/>
          <w:szCs w:val="24"/>
        </w:rPr>
        <w:t xml:space="preserve">tööandja tööjõukulu suurendamata. Kuna selline lahendus tooks endaga kaasa praeguse maksupoliitika olulise ümberhindamise, siis </w:t>
      </w:r>
      <w:r w:rsidR="0017577B">
        <w:rPr>
          <w:rFonts w:ascii="Times New Roman" w:hAnsi="Times New Roman" w:cs="Times New Roman"/>
          <w:sz w:val="24"/>
          <w:szCs w:val="24"/>
        </w:rPr>
        <w:t xml:space="preserve">vajab selle </w:t>
      </w:r>
      <w:r w:rsidR="006D040B">
        <w:rPr>
          <w:rFonts w:ascii="Times New Roman" w:hAnsi="Times New Roman" w:cs="Times New Roman"/>
          <w:sz w:val="24"/>
          <w:szCs w:val="24"/>
        </w:rPr>
        <w:t>koondmõjude väljaselgitamine eraldi uuringut.</w:t>
      </w:r>
      <w:r w:rsidR="0017577B">
        <w:rPr>
          <w:rFonts w:ascii="Times New Roman" w:hAnsi="Times New Roman" w:cs="Times New Roman"/>
          <w:sz w:val="24"/>
          <w:szCs w:val="24"/>
        </w:rPr>
        <w:t xml:space="preserve"> </w:t>
      </w:r>
    </w:p>
    <w:p w:rsidR="00513FB2" w:rsidRDefault="00513FB2" w:rsidP="000D2BCE">
      <w:pPr>
        <w:autoSpaceDE w:val="0"/>
        <w:autoSpaceDN w:val="0"/>
        <w:adjustRightInd w:val="0"/>
        <w:spacing w:after="0" w:line="240" w:lineRule="auto"/>
        <w:rPr>
          <w:rFonts w:ascii="Times New Roman" w:hAnsi="Times New Roman" w:cs="Times New Roman"/>
          <w:sz w:val="24"/>
          <w:szCs w:val="24"/>
        </w:rPr>
      </w:pPr>
    </w:p>
    <w:p w:rsidR="00513FB2" w:rsidRPr="000D2BCE" w:rsidRDefault="00513FB2" w:rsidP="000D2BCE">
      <w:pPr>
        <w:autoSpaceDE w:val="0"/>
        <w:autoSpaceDN w:val="0"/>
        <w:adjustRightInd w:val="0"/>
        <w:spacing w:after="0" w:line="240" w:lineRule="auto"/>
        <w:rPr>
          <w:rFonts w:ascii="Times New Roman" w:hAnsi="Times New Roman" w:cs="Times New Roman"/>
          <w:sz w:val="24"/>
          <w:szCs w:val="24"/>
        </w:rPr>
      </w:pPr>
      <w:r w:rsidRPr="00830606">
        <w:rPr>
          <w:rFonts w:cs="Times New Roman"/>
          <w:b/>
        </w:rPr>
        <w:t xml:space="preserve">Tabel </w:t>
      </w:r>
      <w:r>
        <w:rPr>
          <w:rFonts w:cs="Times New Roman"/>
          <w:b/>
        </w:rPr>
        <w:t>2</w:t>
      </w:r>
      <w:r w:rsidRPr="00830606">
        <w:rPr>
          <w:rFonts w:cs="Times New Roman"/>
          <w:b/>
        </w:rPr>
        <w:t xml:space="preserve">. </w:t>
      </w:r>
      <w:r w:rsidR="009869CB">
        <w:rPr>
          <w:rFonts w:cs="Times New Roman"/>
          <w:b/>
        </w:rPr>
        <w:t xml:space="preserve">Netopalga suurendamise </w:t>
      </w:r>
      <w:r w:rsidR="00453872">
        <w:rPr>
          <w:rFonts w:cs="Times New Roman"/>
          <w:b/>
        </w:rPr>
        <w:t xml:space="preserve">põhimõttelised </w:t>
      </w:r>
      <w:r w:rsidR="009869CB">
        <w:rPr>
          <w:rFonts w:cs="Times New Roman"/>
          <w:b/>
        </w:rPr>
        <w:t xml:space="preserve">võimalused </w:t>
      </w:r>
    </w:p>
    <w:tbl>
      <w:tblPr>
        <w:tblW w:w="710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41"/>
        <w:gridCol w:w="1701"/>
        <w:gridCol w:w="1701"/>
        <w:gridCol w:w="1559"/>
      </w:tblGrid>
      <w:tr w:rsidR="00513FB2" w:rsidRPr="00513FB2" w:rsidTr="00453872">
        <w:trPr>
          <w:trHeight w:val="329"/>
        </w:trPr>
        <w:tc>
          <w:tcPr>
            <w:tcW w:w="2141" w:type="dxa"/>
            <w:shd w:val="clear" w:color="auto" w:fill="auto"/>
            <w:noWrap/>
            <w:vAlign w:val="bottom"/>
            <w:hideMark/>
          </w:tcPr>
          <w:p w:rsidR="00513FB2" w:rsidRPr="00513FB2" w:rsidRDefault="00513FB2" w:rsidP="00513FB2">
            <w:pPr>
              <w:spacing w:after="0" w:line="240" w:lineRule="auto"/>
              <w:rPr>
                <w:rFonts w:ascii="Calibri" w:eastAsia="Times New Roman" w:hAnsi="Calibri" w:cs="Times New Roman"/>
                <w:color w:val="000000"/>
                <w:lang w:eastAsia="et-EE"/>
              </w:rPr>
            </w:pPr>
          </w:p>
        </w:tc>
        <w:tc>
          <w:tcPr>
            <w:tcW w:w="1701" w:type="dxa"/>
            <w:shd w:val="clear" w:color="auto" w:fill="auto"/>
            <w:noWrap/>
            <w:vAlign w:val="bottom"/>
            <w:hideMark/>
          </w:tcPr>
          <w:p w:rsidR="00513FB2" w:rsidRPr="00513FB2" w:rsidRDefault="00513FB2" w:rsidP="00513FB2">
            <w:pPr>
              <w:spacing w:after="0" w:line="240" w:lineRule="auto"/>
              <w:jc w:val="right"/>
              <w:rPr>
                <w:rFonts w:ascii="Calibri" w:eastAsia="Times New Roman" w:hAnsi="Calibri" w:cs="Times New Roman"/>
                <w:b/>
                <w:bCs/>
                <w:color w:val="000000"/>
                <w:lang w:eastAsia="et-EE"/>
              </w:rPr>
            </w:pPr>
            <w:r>
              <w:rPr>
                <w:rFonts w:ascii="Calibri" w:eastAsia="Times New Roman" w:hAnsi="Calibri" w:cs="Times New Roman"/>
                <w:b/>
                <w:bCs/>
                <w:color w:val="000000"/>
                <w:lang w:eastAsia="et-EE"/>
              </w:rPr>
              <w:t>P</w:t>
            </w:r>
            <w:r w:rsidRPr="00513FB2">
              <w:rPr>
                <w:rFonts w:ascii="Calibri" w:eastAsia="Times New Roman" w:hAnsi="Calibri" w:cs="Times New Roman"/>
                <w:b/>
                <w:bCs/>
                <w:color w:val="000000"/>
                <w:lang w:eastAsia="et-EE"/>
              </w:rPr>
              <w:t>raegu</w:t>
            </w:r>
          </w:p>
        </w:tc>
        <w:tc>
          <w:tcPr>
            <w:tcW w:w="1701" w:type="dxa"/>
            <w:tcBorders>
              <w:bottom w:val="single" w:sz="4" w:space="0" w:color="auto"/>
            </w:tcBorders>
            <w:shd w:val="clear" w:color="auto" w:fill="auto"/>
            <w:noWrap/>
            <w:vAlign w:val="bottom"/>
            <w:hideMark/>
          </w:tcPr>
          <w:p w:rsidR="00513FB2" w:rsidRPr="00513FB2" w:rsidRDefault="009666FB" w:rsidP="00513FB2">
            <w:pPr>
              <w:spacing w:after="0" w:line="240" w:lineRule="auto"/>
              <w:jc w:val="right"/>
              <w:rPr>
                <w:rFonts w:ascii="Calibri" w:eastAsia="Times New Roman" w:hAnsi="Calibri" w:cs="Times New Roman"/>
                <w:b/>
                <w:bCs/>
                <w:color w:val="000000"/>
                <w:lang w:eastAsia="et-EE"/>
              </w:rPr>
            </w:pPr>
            <w:r>
              <w:rPr>
                <w:rFonts w:ascii="Calibri" w:eastAsia="Times New Roman" w:hAnsi="Calibri" w:cs="Times New Roman"/>
                <w:b/>
                <w:bCs/>
                <w:color w:val="000000"/>
                <w:lang w:eastAsia="et-EE"/>
              </w:rPr>
              <w:t>Alam</w:t>
            </w:r>
            <w:r w:rsidR="00513FB2">
              <w:rPr>
                <w:rFonts w:ascii="Calibri" w:eastAsia="Times New Roman" w:hAnsi="Calibri" w:cs="Times New Roman"/>
                <w:b/>
                <w:bCs/>
                <w:color w:val="000000"/>
                <w:lang w:eastAsia="et-EE"/>
              </w:rPr>
              <w:t>palk 1000€</w:t>
            </w:r>
            <w:r w:rsidR="009869CB">
              <w:rPr>
                <w:rFonts w:ascii="Calibri" w:eastAsia="Times New Roman" w:hAnsi="Calibri" w:cs="Times New Roman"/>
                <w:b/>
                <w:bCs/>
                <w:color w:val="000000"/>
                <w:lang w:eastAsia="et-EE"/>
              </w:rPr>
              <w:t xml:space="preserve"> praegune maksusüsteem</w:t>
            </w:r>
          </w:p>
        </w:tc>
        <w:tc>
          <w:tcPr>
            <w:tcW w:w="1559" w:type="dxa"/>
            <w:shd w:val="clear" w:color="auto" w:fill="auto"/>
            <w:noWrap/>
            <w:vAlign w:val="bottom"/>
            <w:hideMark/>
          </w:tcPr>
          <w:p w:rsidR="00513FB2" w:rsidRPr="00513FB2" w:rsidRDefault="009666FB" w:rsidP="00513FB2">
            <w:pPr>
              <w:spacing w:after="0" w:line="240" w:lineRule="auto"/>
              <w:jc w:val="right"/>
              <w:rPr>
                <w:rFonts w:ascii="Calibri" w:eastAsia="Times New Roman" w:hAnsi="Calibri" w:cs="Times New Roman"/>
                <w:b/>
                <w:bCs/>
                <w:color w:val="000000"/>
                <w:lang w:eastAsia="et-EE"/>
              </w:rPr>
            </w:pPr>
            <w:r>
              <w:rPr>
                <w:rFonts w:ascii="Calibri" w:eastAsia="Times New Roman" w:hAnsi="Calibri" w:cs="Times New Roman"/>
                <w:b/>
                <w:bCs/>
                <w:color w:val="000000"/>
                <w:lang w:eastAsia="et-EE"/>
              </w:rPr>
              <w:t>Palga alammäär</w:t>
            </w:r>
            <w:r w:rsidR="00513FB2">
              <w:rPr>
                <w:rFonts w:ascii="Calibri" w:eastAsia="Times New Roman" w:hAnsi="Calibri" w:cs="Times New Roman"/>
                <w:b/>
                <w:bCs/>
                <w:color w:val="000000"/>
                <w:lang w:eastAsia="et-EE"/>
              </w:rPr>
              <w:t xml:space="preserve"> maksuvaba</w:t>
            </w:r>
          </w:p>
        </w:tc>
      </w:tr>
      <w:tr w:rsidR="00513FB2" w:rsidRPr="00513FB2" w:rsidTr="00453872">
        <w:trPr>
          <w:trHeight w:val="329"/>
        </w:trPr>
        <w:tc>
          <w:tcPr>
            <w:tcW w:w="2141" w:type="dxa"/>
            <w:tcBorders>
              <w:bottom w:val="single" w:sz="4" w:space="0" w:color="auto"/>
            </w:tcBorders>
            <w:shd w:val="clear" w:color="auto" w:fill="auto"/>
            <w:noWrap/>
            <w:vAlign w:val="bottom"/>
            <w:hideMark/>
          </w:tcPr>
          <w:p w:rsidR="00513FB2" w:rsidRPr="00453872" w:rsidRDefault="00513FB2" w:rsidP="00513FB2">
            <w:pPr>
              <w:spacing w:after="0" w:line="240" w:lineRule="auto"/>
              <w:rPr>
                <w:rFonts w:ascii="Calibri" w:eastAsia="Times New Roman" w:hAnsi="Calibri" w:cs="Times New Roman"/>
                <w:b/>
                <w:color w:val="000000"/>
                <w:lang w:eastAsia="et-EE"/>
              </w:rPr>
            </w:pPr>
            <w:r w:rsidRPr="00453872">
              <w:rPr>
                <w:rFonts w:ascii="Calibri" w:eastAsia="Times New Roman" w:hAnsi="Calibri" w:cs="Times New Roman"/>
                <w:b/>
                <w:color w:val="000000"/>
                <w:lang w:eastAsia="et-EE"/>
              </w:rPr>
              <w:t>Miinimumpalk bruto</w:t>
            </w:r>
          </w:p>
        </w:tc>
        <w:tc>
          <w:tcPr>
            <w:tcW w:w="1701" w:type="dxa"/>
            <w:tcBorders>
              <w:bottom w:val="single" w:sz="4" w:space="0" w:color="auto"/>
            </w:tcBorders>
            <w:shd w:val="clear" w:color="auto" w:fill="auto"/>
            <w:noWrap/>
            <w:vAlign w:val="bottom"/>
            <w:hideMark/>
          </w:tcPr>
          <w:p w:rsidR="00513FB2" w:rsidRPr="00513FB2" w:rsidRDefault="00513FB2" w:rsidP="00513FB2">
            <w:pPr>
              <w:spacing w:after="0" w:line="240" w:lineRule="auto"/>
              <w:jc w:val="right"/>
              <w:rPr>
                <w:rFonts w:ascii="Calibri" w:eastAsia="Times New Roman" w:hAnsi="Calibri" w:cs="Times New Roman"/>
                <w:color w:val="000000"/>
                <w:lang w:eastAsia="et-EE"/>
              </w:rPr>
            </w:pPr>
            <w:r w:rsidRPr="00513FB2">
              <w:rPr>
                <w:rFonts w:ascii="Calibri" w:eastAsia="Times New Roman" w:hAnsi="Calibri" w:cs="Times New Roman"/>
                <w:color w:val="000000"/>
                <w:lang w:eastAsia="et-EE"/>
              </w:rPr>
              <w:t>390</w:t>
            </w:r>
          </w:p>
        </w:tc>
        <w:tc>
          <w:tcPr>
            <w:tcW w:w="1701" w:type="dxa"/>
            <w:shd w:val="clear" w:color="auto" w:fill="auto"/>
            <w:noWrap/>
            <w:vAlign w:val="bottom"/>
            <w:hideMark/>
          </w:tcPr>
          <w:p w:rsidR="00513FB2" w:rsidRPr="00513FB2" w:rsidRDefault="00513FB2" w:rsidP="00513FB2">
            <w:pPr>
              <w:spacing w:after="0" w:line="240" w:lineRule="auto"/>
              <w:jc w:val="right"/>
              <w:rPr>
                <w:rFonts w:ascii="Calibri" w:eastAsia="Times New Roman" w:hAnsi="Calibri" w:cs="Times New Roman"/>
                <w:color w:val="000000"/>
                <w:lang w:eastAsia="et-EE"/>
              </w:rPr>
            </w:pPr>
            <w:r w:rsidRPr="00513FB2">
              <w:rPr>
                <w:rFonts w:ascii="Calibri" w:eastAsia="Times New Roman" w:hAnsi="Calibri" w:cs="Times New Roman"/>
                <w:color w:val="000000"/>
                <w:lang w:eastAsia="et-EE"/>
              </w:rPr>
              <w:t>1000</w:t>
            </w:r>
          </w:p>
        </w:tc>
        <w:tc>
          <w:tcPr>
            <w:tcW w:w="1559" w:type="dxa"/>
            <w:shd w:val="clear" w:color="auto" w:fill="auto"/>
            <w:noWrap/>
            <w:vAlign w:val="bottom"/>
            <w:hideMark/>
          </w:tcPr>
          <w:p w:rsidR="00513FB2" w:rsidRPr="00513FB2" w:rsidRDefault="006C5021" w:rsidP="00513FB2">
            <w:pPr>
              <w:spacing w:after="0" w:line="240" w:lineRule="auto"/>
              <w:jc w:val="right"/>
              <w:rPr>
                <w:rFonts w:ascii="Calibri" w:eastAsia="Times New Roman" w:hAnsi="Calibri" w:cs="Times New Roman"/>
                <w:color w:val="000000"/>
                <w:lang w:eastAsia="et-EE"/>
              </w:rPr>
            </w:pPr>
            <w:r>
              <w:rPr>
                <w:rFonts w:ascii="Calibri" w:eastAsia="Times New Roman" w:hAnsi="Calibri" w:cs="Times New Roman"/>
                <w:color w:val="000000"/>
                <w:lang w:eastAsia="et-EE"/>
              </w:rPr>
              <w:t>522</w:t>
            </w:r>
          </w:p>
        </w:tc>
      </w:tr>
      <w:tr w:rsidR="00513FB2" w:rsidRPr="00513FB2" w:rsidTr="00453872">
        <w:trPr>
          <w:trHeight w:val="329"/>
        </w:trPr>
        <w:tc>
          <w:tcPr>
            <w:tcW w:w="2141" w:type="dxa"/>
            <w:shd w:val="clear" w:color="auto" w:fill="D9D9D9" w:themeFill="background1" w:themeFillShade="D9"/>
            <w:noWrap/>
            <w:vAlign w:val="bottom"/>
            <w:hideMark/>
          </w:tcPr>
          <w:p w:rsidR="00513FB2" w:rsidRPr="00453872" w:rsidRDefault="00513FB2" w:rsidP="00513FB2">
            <w:pPr>
              <w:spacing w:after="0" w:line="240" w:lineRule="auto"/>
              <w:rPr>
                <w:rFonts w:ascii="Calibri" w:eastAsia="Times New Roman" w:hAnsi="Calibri" w:cs="Times New Roman"/>
                <w:b/>
                <w:color w:val="000000"/>
                <w:lang w:eastAsia="et-EE"/>
              </w:rPr>
            </w:pPr>
            <w:r w:rsidRPr="00453872">
              <w:rPr>
                <w:rFonts w:ascii="Calibri" w:eastAsia="Times New Roman" w:hAnsi="Calibri" w:cs="Times New Roman"/>
                <w:b/>
                <w:color w:val="000000"/>
                <w:lang w:eastAsia="et-EE"/>
              </w:rPr>
              <w:t>Tööandja palgakulu</w:t>
            </w:r>
          </w:p>
        </w:tc>
        <w:tc>
          <w:tcPr>
            <w:tcW w:w="1701" w:type="dxa"/>
            <w:shd w:val="clear" w:color="auto" w:fill="D9D9D9" w:themeFill="background1" w:themeFillShade="D9"/>
            <w:noWrap/>
            <w:vAlign w:val="bottom"/>
            <w:hideMark/>
          </w:tcPr>
          <w:p w:rsidR="00513FB2" w:rsidRPr="00513FB2" w:rsidRDefault="00513FB2" w:rsidP="00513FB2">
            <w:pPr>
              <w:spacing w:after="0" w:line="240" w:lineRule="auto"/>
              <w:jc w:val="right"/>
              <w:rPr>
                <w:rFonts w:ascii="Calibri" w:eastAsia="Times New Roman" w:hAnsi="Calibri" w:cs="Times New Roman"/>
                <w:color w:val="000000"/>
                <w:lang w:eastAsia="et-EE"/>
              </w:rPr>
            </w:pPr>
            <w:r w:rsidRPr="00513FB2">
              <w:rPr>
                <w:rFonts w:ascii="Calibri" w:eastAsia="Times New Roman" w:hAnsi="Calibri" w:cs="Times New Roman"/>
                <w:color w:val="000000"/>
                <w:lang w:eastAsia="et-EE"/>
              </w:rPr>
              <w:t>522</w:t>
            </w:r>
          </w:p>
        </w:tc>
        <w:tc>
          <w:tcPr>
            <w:tcW w:w="1701" w:type="dxa"/>
            <w:shd w:val="clear" w:color="auto" w:fill="auto"/>
            <w:noWrap/>
            <w:vAlign w:val="bottom"/>
            <w:hideMark/>
          </w:tcPr>
          <w:p w:rsidR="00513FB2" w:rsidRPr="00513FB2" w:rsidRDefault="00513FB2" w:rsidP="00513FB2">
            <w:pPr>
              <w:spacing w:after="0" w:line="240" w:lineRule="auto"/>
              <w:jc w:val="right"/>
              <w:rPr>
                <w:rFonts w:ascii="Calibri" w:eastAsia="Times New Roman" w:hAnsi="Calibri" w:cs="Times New Roman"/>
                <w:color w:val="000000"/>
                <w:lang w:eastAsia="et-EE"/>
              </w:rPr>
            </w:pPr>
            <w:r w:rsidRPr="00513FB2">
              <w:rPr>
                <w:rFonts w:ascii="Calibri" w:eastAsia="Times New Roman" w:hAnsi="Calibri" w:cs="Times New Roman"/>
                <w:color w:val="000000"/>
                <w:lang w:eastAsia="et-EE"/>
              </w:rPr>
              <w:t>1338</w:t>
            </w:r>
          </w:p>
        </w:tc>
        <w:tc>
          <w:tcPr>
            <w:tcW w:w="1559" w:type="dxa"/>
            <w:tcBorders>
              <w:bottom w:val="single" w:sz="4" w:space="0" w:color="auto"/>
            </w:tcBorders>
            <w:shd w:val="clear" w:color="auto" w:fill="auto"/>
            <w:noWrap/>
            <w:vAlign w:val="bottom"/>
            <w:hideMark/>
          </w:tcPr>
          <w:p w:rsidR="00513FB2" w:rsidRPr="00513FB2" w:rsidRDefault="006C5021" w:rsidP="00513FB2">
            <w:pPr>
              <w:spacing w:after="0" w:line="240" w:lineRule="auto"/>
              <w:jc w:val="right"/>
              <w:rPr>
                <w:rFonts w:ascii="Calibri" w:eastAsia="Times New Roman" w:hAnsi="Calibri" w:cs="Times New Roman"/>
                <w:color w:val="000000"/>
                <w:lang w:eastAsia="et-EE"/>
              </w:rPr>
            </w:pPr>
            <w:r>
              <w:rPr>
                <w:rFonts w:ascii="Calibri" w:eastAsia="Times New Roman" w:hAnsi="Calibri" w:cs="Times New Roman"/>
                <w:color w:val="000000"/>
                <w:lang w:eastAsia="et-EE"/>
              </w:rPr>
              <w:t>522</w:t>
            </w:r>
          </w:p>
        </w:tc>
      </w:tr>
      <w:tr w:rsidR="00513FB2" w:rsidRPr="00513FB2" w:rsidTr="00453872">
        <w:trPr>
          <w:trHeight w:val="329"/>
        </w:trPr>
        <w:tc>
          <w:tcPr>
            <w:tcW w:w="2141" w:type="dxa"/>
            <w:shd w:val="clear" w:color="auto" w:fill="auto"/>
            <w:noWrap/>
            <w:vAlign w:val="bottom"/>
            <w:hideMark/>
          </w:tcPr>
          <w:p w:rsidR="00513FB2" w:rsidRPr="00453872" w:rsidRDefault="00513FB2" w:rsidP="00513FB2">
            <w:pPr>
              <w:spacing w:after="0" w:line="240" w:lineRule="auto"/>
              <w:rPr>
                <w:rFonts w:ascii="Calibri" w:eastAsia="Times New Roman" w:hAnsi="Calibri" w:cs="Times New Roman"/>
                <w:b/>
                <w:color w:val="000000"/>
                <w:lang w:eastAsia="et-EE"/>
              </w:rPr>
            </w:pPr>
            <w:r w:rsidRPr="00453872">
              <w:rPr>
                <w:rFonts w:ascii="Calibri" w:eastAsia="Times New Roman" w:hAnsi="Calibri" w:cs="Times New Roman"/>
                <w:b/>
                <w:color w:val="000000"/>
                <w:lang w:eastAsia="et-EE"/>
              </w:rPr>
              <w:t>Miinimumpalk neto</w:t>
            </w:r>
          </w:p>
        </w:tc>
        <w:tc>
          <w:tcPr>
            <w:tcW w:w="1701" w:type="dxa"/>
            <w:shd w:val="clear" w:color="auto" w:fill="auto"/>
            <w:noWrap/>
            <w:vAlign w:val="bottom"/>
            <w:hideMark/>
          </w:tcPr>
          <w:p w:rsidR="00513FB2" w:rsidRPr="00513FB2" w:rsidRDefault="00513FB2" w:rsidP="00513FB2">
            <w:pPr>
              <w:spacing w:after="0" w:line="240" w:lineRule="auto"/>
              <w:jc w:val="right"/>
              <w:rPr>
                <w:rFonts w:ascii="Calibri" w:eastAsia="Times New Roman" w:hAnsi="Calibri" w:cs="Times New Roman"/>
                <w:b/>
                <w:color w:val="000000"/>
                <w:lang w:eastAsia="et-EE"/>
              </w:rPr>
            </w:pPr>
            <w:r w:rsidRPr="00513FB2">
              <w:rPr>
                <w:rFonts w:ascii="Calibri" w:eastAsia="Times New Roman" w:hAnsi="Calibri" w:cs="Times New Roman"/>
                <w:b/>
                <w:color w:val="000000"/>
                <w:lang w:eastAsia="et-EE"/>
              </w:rPr>
              <w:t>332</w:t>
            </w:r>
          </w:p>
        </w:tc>
        <w:tc>
          <w:tcPr>
            <w:tcW w:w="1701" w:type="dxa"/>
            <w:shd w:val="clear" w:color="auto" w:fill="auto"/>
            <w:noWrap/>
            <w:vAlign w:val="bottom"/>
            <w:hideMark/>
          </w:tcPr>
          <w:p w:rsidR="00513FB2" w:rsidRPr="00513FB2" w:rsidRDefault="00513FB2" w:rsidP="00513FB2">
            <w:pPr>
              <w:spacing w:after="0" w:line="240" w:lineRule="auto"/>
              <w:jc w:val="right"/>
              <w:rPr>
                <w:rFonts w:ascii="Calibri" w:eastAsia="Times New Roman" w:hAnsi="Calibri" w:cs="Times New Roman"/>
                <w:color w:val="000000"/>
                <w:lang w:eastAsia="et-EE"/>
              </w:rPr>
            </w:pPr>
            <w:r w:rsidRPr="00513FB2">
              <w:rPr>
                <w:rFonts w:ascii="Calibri" w:eastAsia="Times New Roman" w:hAnsi="Calibri" w:cs="Times New Roman"/>
                <w:color w:val="000000"/>
                <w:lang w:eastAsia="et-EE"/>
              </w:rPr>
              <w:t>802</w:t>
            </w:r>
          </w:p>
        </w:tc>
        <w:tc>
          <w:tcPr>
            <w:tcW w:w="1559" w:type="dxa"/>
            <w:shd w:val="clear" w:color="auto" w:fill="D9D9D9" w:themeFill="background1" w:themeFillShade="D9"/>
            <w:noWrap/>
            <w:vAlign w:val="bottom"/>
            <w:hideMark/>
          </w:tcPr>
          <w:p w:rsidR="00513FB2" w:rsidRPr="00513FB2" w:rsidRDefault="00513FB2" w:rsidP="00513FB2">
            <w:pPr>
              <w:spacing w:after="0" w:line="240" w:lineRule="auto"/>
              <w:jc w:val="right"/>
              <w:rPr>
                <w:rFonts w:ascii="Calibri" w:eastAsia="Times New Roman" w:hAnsi="Calibri" w:cs="Times New Roman"/>
                <w:b/>
                <w:color w:val="000000"/>
                <w:lang w:eastAsia="et-EE"/>
              </w:rPr>
            </w:pPr>
            <w:r w:rsidRPr="00513FB2">
              <w:rPr>
                <w:rFonts w:ascii="Calibri" w:eastAsia="Times New Roman" w:hAnsi="Calibri" w:cs="Times New Roman"/>
                <w:b/>
                <w:color w:val="000000"/>
                <w:lang w:eastAsia="et-EE"/>
              </w:rPr>
              <w:t>522</w:t>
            </w:r>
          </w:p>
        </w:tc>
      </w:tr>
    </w:tbl>
    <w:p w:rsidR="008B4F05" w:rsidRDefault="008B4F05" w:rsidP="008B4F05">
      <w:pPr>
        <w:autoSpaceDE w:val="0"/>
        <w:autoSpaceDN w:val="0"/>
        <w:adjustRightInd w:val="0"/>
        <w:spacing w:after="0" w:line="240" w:lineRule="auto"/>
        <w:rPr>
          <w:rFonts w:ascii="Times New Roman" w:hAnsi="Times New Roman" w:cs="Times New Roman"/>
          <w:b/>
          <w:sz w:val="24"/>
          <w:szCs w:val="24"/>
        </w:rPr>
      </w:pPr>
    </w:p>
    <w:p w:rsidR="00513FB2" w:rsidRDefault="00513FB2" w:rsidP="008B4F05">
      <w:pPr>
        <w:autoSpaceDE w:val="0"/>
        <w:autoSpaceDN w:val="0"/>
        <w:adjustRightInd w:val="0"/>
        <w:spacing w:after="0" w:line="240" w:lineRule="auto"/>
        <w:rPr>
          <w:rFonts w:ascii="Times New Roman" w:hAnsi="Times New Roman" w:cs="Times New Roman"/>
          <w:b/>
          <w:sz w:val="24"/>
          <w:szCs w:val="24"/>
        </w:rPr>
      </w:pPr>
    </w:p>
    <w:p w:rsidR="00B83C64" w:rsidRDefault="00B83C64">
      <w:pPr>
        <w:rPr>
          <w:rFonts w:ascii="Times New Roman" w:hAnsi="Times New Roman" w:cs="Times New Roman"/>
          <w:b/>
          <w:sz w:val="24"/>
          <w:szCs w:val="24"/>
        </w:rPr>
      </w:pPr>
      <w:r>
        <w:rPr>
          <w:rFonts w:ascii="Times New Roman" w:hAnsi="Times New Roman" w:cs="Times New Roman"/>
          <w:b/>
          <w:sz w:val="24"/>
          <w:szCs w:val="24"/>
        </w:rPr>
        <w:br w:type="page"/>
      </w:r>
    </w:p>
    <w:p w:rsidR="008B4F05" w:rsidRDefault="008B4F05" w:rsidP="008B4F05">
      <w:pPr>
        <w:pStyle w:val="ListParagraph"/>
        <w:numPr>
          <w:ilvl w:val="1"/>
          <w:numId w:val="1"/>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94BD2">
        <w:rPr>
          <w:rFonts w:ascii="Times New Roman" w:hAnsi="Times New Roman" w:cs="Times New Roman"/>
          <w:b/>
          <w:sz w:val="24"/>
          <w:szCs w:val="24"/>
        </w:rPr>
        <w:t>Miinimumpalg</w:t>
      </w:r>
      <w:r w:rsidR="00A83027">
        <w:rPr>
          <w:rFonts w:ascii="Times New Roman" w:hAnsi="Times New Roman" w:cs="Times New Roman"/>
          <w:b/>
          <w:sz w:val="24"/>
          <w:szCs w:val="24"/>
        </w:rPr>
        <w:t>a mõju väljaspool tööturgu</w:t>
      </w:r>
    </w:p>
    <w:p w:rsidR="00A83027" w:rsidRPr="00A83027" w:rsidRDefault="00A83027" w:rsidP="00A83027">
      <w:pPr>
        <w:autoSpaceDE w:val="0"/>
        <w:autoSpaceDN w:val="0"/>
        <w:adjustRightInd w:val="0"/>
        <w:spacing w:after="0" w:line="240" w:lineRule="auto"/>
        <w:rPr>
          <w:rFonts w:ascii="Times New Roman" w:hAnsi="Times New Roman" w:cs="Times New Roman"/>
          <w:sz w:val="24"/>
          <w:szCs w:val="24"/>
        </w:rPr>
      </w:pPr>
    </w:p>
    <w:p w:rsidR="00E77C66" w:rsidRDefault="00A83027" w:rsidP="00A830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Töötasu alammääraga on seotud vähemalt üks oluline </w:t>
      </w:r>
      <w:r w:rsidR="00013E9D" w:rsidRPr="00784043">
        <w:rPr>
          <w:rFonts w:ascii="Times New Roman" w:hAnsi="Times New Roman" w:cs="Times New Roman"/>
          <w:sz w:val="24"/>
          <w:szCs w:val="24"/>
        </w:rPr>
        <w:t>asjaolu</w:t>
      </w:r>
      <w:r w:rsidR="00794BD2">
        <w:rPr>
          <w:rFonts w:ascii="Times New Roman" w:hAnsi="Times New Roman" w:cs="Times New Roman"/>
          <w:sz w:val="24"/>
          <w:szCs w:val="24"/>
        </w:rPr>
        <w:t xml:space="preserve"> väljaspool tööturgu.</w:t>
      </w:r>
      <w:r>
        <w:rPr>
          <w:rFonts w:ascii="Times New Roman" w:hAnsi="Times New Roman" w:cs="Times New Roman"/>
          <w:sz w:val="24"/>
          <w:szCs w:val="24"/>
        </w:rPr>
        <w:t xml:space="preserve"> Vastavalt P</w:t>
      </w:r>
      <w:r w:rsidRPr="00A83027">
        <w:rPr>
          <w:rFonts w:ascii="Times New Roman" w:hAnsi="Times New Roman" w:cs="Times New Roman"/>
          <w:sz w:val="24"/>
          <w:szCs w:val="24"/>
        </w:rPr>
        <w:t xml:space="preserve">erekonnaseaduse </w:t>
      </w:r>
      <w:r w:rsidRPr="002D6864">
        <w:rPr>
          <w:rFonts w:ascii="Times New Roman" w:hAnsi="Times New Roman" w:cs="Times New Roman"/>
          <w:sz w:val="24"/>
          <w:szCs w:val="24"/>
        </w:rPr>
        <w:t>§</w:t>
      </w:r>
      <w:r>
        <w:rPr>
          <w:rFonts w:ascii="Times New Roman" w:hAnsi="Times New Roman" w:cs="Times New Roman"/>
          <w:sz w:val="24"/>
          <w:szCs w:val="24"/>
        </w:rPr>
        <w:t xml:space="preserve"> 101, lõige 1-le ei või igakuine elatis ühele lapsele olla väiksem kui pool Vabariigi Valitsuse kehtestatud kuupalga alammäära. </w:t>
      </w:r>
      <w:r w:rsidR="00013E9D">
        <w:rPr>
          <w:rFonts w:ascii="Times New Roman" w:hAnsi="Times New Roman" w:cs="Times New Roman"/>
          <w:sz w:val="24"/>
          <w:szCs w:val="24"/>
        </w:rPr>
        <w:t xml:space="preserve">Kahe lapse eest on miinimumelatis seega võrdne alampalgaga. </w:t>
      </w:r>
      <w:r w:rsidR="00794BD2">
        <w:rPr>
          <w:rFonts w:ascii="Times New Roman" w:hAnsi="Times New Roman" w:cs="Times New Roman"/>
          <w:sz w:val="24"/>
          <w:szCs w:val="24"/>
        </w:rPr>
        <w:t xml:space="preserve">Kuna alampalk on kasvanud viimastel aastatel keskmisest palgast oluliselt kiiremini, siis on see </w:t>
      </w:r>
      <w:r w:rsidR="00784043">
        <w:rPr>
          <w:rFonts w:ascii="Times New Roman" w:hAnsi="Times New Roman" w:cs="Times New Roman"/>
          <w:sz w:val="24"/>
          <w:szCs w:val="24"/>
        </w:rPr>
        <w:t>raskendanud</w:t>
      </w:r>
      <w:r w:rsidR="00E77C66">
        <w:rPr>
          <w:rFonts w:ascii="Times New Roman" w:hAnsi="Times New Roman" w:cs="Times New Roman"/>
          <w:sz w:val="24"/>
          <w:szCs w:val="24"/>
        </w:rPr>
        <w:t xml:space="preserve"> elatiskohustuse täitmist paljudel </w:t>
      </w:r>
      <w:r w:rsidR="00784043">
        <w:rPr>
          <w:rFonts w:ascii="Times New Roman" w:hAnsi="Times New Roman" w:cs="Times New Roman"/>
          <w:sz w:val="24"/>
          <w:szCs w:val="24"/>
        </w:rPr>
        <w:t>kohuslastel</w:t>
      </w:r>
      <w:r w:rsidR="00E77C66">
        <w:rPr>
          <w:rFonts w:ascii="Times New Roman" w:hAnsi="Times New Roman" w:cs="Times New Roman"/>
          <w:sz w:val="24"/>
          <w:szCs w:val="24"/>
        </w:rPr>
        <w:t xml:space="preserve">. </w:t>
      </w:r>
    </w:p>
    <w:p w:rsidR="00E77C66" w:rsidRDefault="00E77C66" w:rsidP="00A83027">
      <w:pPr>
        <w:autoSpaceDE w:val="0"/>
        <w:autoSpaceDN w:val="0"/>
        <w:adjustRightInd w:val="0"/>
        <w:spacing w:after="0" w:line="240" w:lineRule="auto"/>
        <w:rPr>
          <w:rFonts w:ascii="Times New Roman" w:hAnsi="Times New Roman" w:cs="Times New Roman"/>
          <w:sz w:val="24"/>
          <w:szCs w:val="24"/>
        </w:rPr>
      </w:pPr>
    </w:p>
    <w:p w:rsidR="00A83027" w:rsidRDefault="00E77C66" w:rsidP="00A830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 aastal on hinnanguline mediaannetopalk Eestis 650 eurot ja kuna minimaalne elatiskohustus kahe lapse eest on töötasu alammäär ehk 390 eurot, siis jääks mediaanpalga</w:t>
      </w:r>
      <w:r w:rsidR="00784043">
        <w:rPr>
          <w:rFonts w:ascii="Times New Roman" w:hAnsi="Times New Roman" w:cs="Times New Roman"/>
          <w:sz w:val="24"/>
          <w:szCs w:val="24"/>
        </w:rPr>
        <w:t xml:space="preserve"> </w:t>
      </w:r>
      <w:r>
        <w:rPr>
          <w:rFonts w:ascii="Times New Roman" w:hAnsi="Times New Roman" w:cs="Times New Roman"/>
          <w:sz w:val="24"/>
          <w:szCs w:val="24"/>
        </w:rPr>
        <w:t xml:space="preserve">teenijal enda vajaduste rahuldamiseks kätte 260 eurot. </w:t>
      </w:r>
      <w:r w:rsidR="00013E9D">
        <w:rPr>
          <w:rFonts w:ascii="Times New Roman" w:hAnsi="Times New Roman" w:cs="Times New Roman"/>
          <w:sz w:val="24"/>
          <w:szCs w:val="24"/>
        </w:rPr>
        <w:t xml:space="preserve">Pooltel elatiskohustusega palgasaajatel </w:t>
      </w:r>
      <w:r w:rsidR="00CD7193">
        <w:rPr>
          <w:rFonts w:ascii="Times New Roman" w:hAnsi="Times New Roman" w:cs="Times New Roman"/>
          <w:sz w:val="24"/>
          <w:szCs w:val="24"/>
        </w:rPr>
        <w:t xml:space="preserve">aga </w:t>
      </w:r>
      <w:r w:rsidR="00013E9D">
        <w:rPr>
          <w:rFonts w:ascii="Times New Roman" w:hAnsi="Times New Roman" w:cs="Times New Roman"/>
          <w:sz w:val="24"/>
          <w:szCs w:val="24"/>
        </w:rPr>
        <w:t xml:space="preserve">veelgi vähem. </w:t>
      </w:r>
      <w:r>
        <w:rPr>
          <w:rFonts w:ascii="Times New Roman" w:hAnsi="Times New Roman" w:cs="Times New Roman"/>
          <w:sz w:val="24"/>
          <w:szCs w:val="24"/>
        </w:rPr>
        <w:t xml:space="preserve">Selline elatiskohustus </w:t>
      </w:r>
      <w:r w:rsidR="00CD7193">
        <w:rPr>
          <w:rFonts w:ascii="Times New Roman" w:hAnsi="Times New Roman" w:cs="Times New Roman"/>
          <w:sz w:val="24"/>
          <w:szCs w:val="24"/>
        </w:rPr>
        <w:t xml:space="preserve">ei ole ilmselt proportsionaalne ja on elatiskohustusest kõrvalehoidmise oluline põhjus. </w:t>
      </w:r>
    </w:p>
    <w:p w:rsidR="00013E9D" w:rsidRDefault="00CD7193" w:rsidP="00CD7193">
      <w:pPr>
        <w:tabs>
          <w:tab w:val="left" w:pos="38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13E9D" w:rsidRDefault="00CD7193" w:rsidP="00A830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Praegune palga alammäär on ebaproportsionaalselt suur ka </w:t>
      </w:r>
      <w:r w:rsidR="00C95F1C">
        <w:rPr>
          <w:rFonts w:ascii="Times New Roman" w:hAnsi="Times New Roman" w:cs="Times New Roman"/>
          <w:sz w:val="24"/>
          <w:szCs w:val="24"/>
        </w:rPr>
        <w:t>Eestis laste kasvatamiseks tehtud tegelike kulutustega. Tartu ülikooli rakendusuuringute keskuse hiljutine uuring</w:t>
      </w:r>
      <w:r w:rsidR="00C95F1C">
        <w:rPr>
          <w:rStyle w:val="FootnoteReference"/>
          <w:rFonts w:ascii="Times New Roman" w:hAnsi="Times New Roman" w:cs="Times New Roman"/>
          <w:sz w:val="24"/>
          <w:szCs w:val="24"/>
        </w:rPr>
        <w:footnoteReference w:id="1"/>
      </w:r>
      <w:r w:rsidR="00C95F1C">
        <w:rPr>
          <w:rFonts w:ascii="Times New Roman" w:hAnsi="Times New Roman" w:cs="Times New Roman"/>
          <w:sz w:val="24"/>
          <w:szCs w:val="24"/>
        </w:rPr>
        <w:t xml:space="preserve"> väidab, et „keskmiselt läheb üks laps leibkonnale maksma 280 eurot kuus.“ </w:t>
      </w:r>
      <w:r w:rsidR="00F010F6">
        <w:rPr>
          <w:rFonts w:ascii="Times New Roman" w:hAnsi="Times New Roman" w:cs="Times New Roman"/>
          <w:sz w:val="24"/>
          <w:szCs w:val="24"/>
        </w:rPr>
        <w:t>Kui mitte arvestada lastetoetusi, mis samuti lähevad last kasvatavale vanemale, siis oleks selle uuringu järgi põhjendatud elatis kahe lapse eest 280 aga mitte 390 eurot.</w:t>
      </w:r>
    </w:p>
    <w:p w:rsidR="00F010F6" w:rsidRDefault="00F010F6" w:rsidP="00A83027">
      <w:pPr>
        <w:autoSpaceDE w:val="0"/>
        <w:autoSpaceDN w:val="0"/>
        <w:adjustRightInd w:val="0"/>
        <w:spacing w:after="0" w:line="240" w:lineRule="auto"/>
        <w:rPr>
          <w:rFonts w:ascii="Times New Roman" w:hAnsi="Times New Roman" w:cs="Times New Roman"/>
          <w:sz w:val="24"/>
          <w:szCs w:val="24"/>
        </w:rPr>
      </w:pPr>
    </w:p>
    <w:p w:rsidR="00F010F6" w:rsidRDefault="00F010F6" w:rsidP="00A830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Probleem on selles, et tuhandete jõustunud kohtuotsustega on määratud elatiskohustus kuni kahekümneks aastaks ette ja see on praegu seotud töötasu alammääraga. Alammäära ennaktempos tõus keskmise palgaga võrreldes teeb nende kohustuste täitmise üha keerukamaks ning soosib sissetulekute varjamist. </w:t>
      </w:r>
    </w:p>
    <w:p w:rsidR="00794BD2" w:rsidRDefault="00794BD2" w:rsidP="00A83027">
      <w:pPr>
        <w:autoSpaceDE w:val="0"/>
        <w:autoSpaceDN w:val="0"/>
        <w:adjustRightInd w:val="0"/>
        <w:spacing w:after="0" w:line="240" w:lineRule="auto"/>
        <w:rPr>
          <w:rFonts w:ascii="Times New Roman" w:hAnsi="Times New Roman" w:cs="Times New Roman"/>
          <w:sz w:val="24"/>
          <w:szCs w:val="24"/>
        </w:rPr>
      </w:pPr>
    </w:p>
    <w:p w:rsidR="00794BD2" w:rsidRPr="00A83027" w:rsidRDefault="00794BD2" w:rsidP="00A830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Kuna </w:t>
      </w:r>
      <w:r w:rsidR="00032135">
        <w:rPr>
          <w:rFonts w:ascii="Times New Roman" w:hAnsi="Times New Roman" w:cs="Times New Roman"/>
          <w:sz w:val="24"/>
          <w:szCs w:val="24"/>
        </w:rPr>
        <w:t>viimastel aastatel on tehtud mitmeid miinimumpalga jõulise tõstmise ettepanekuid</w:t>
      </w:r>
      <w:r w:rsidR="00E77C66">
        <w:rPr>
          <w:rFonts w:ascii="Times New Roman" w:hAnsi="Times New Roman" w:cs="Times New Roman"/>
          <w:sz w:val="24"/>
          <w:szCs w:val="24"/>
        </w:rPr>
        <w:t xml:space="preserve">, siis tuleks miinimumelatis miinimumpalgast lahti siduda, et vältida elatiskohustuse mittetäitmise probleemi süvenemist. </w:t>
      </w:r>
    </w:p>
    <w:p w:rsidR="00AE6E52" w:rsidRPr="00A83027" w:rsidRDefault="00AE6E52" w:rsidP="00AE6E52">
      <w:pPr>
        <w:autoSpaceDE w:val="0"/>
        <w:autoSpaceDN w:val="0"/>
        <w:adjustRightInd w:val="0"/>
        <w:spacing w:after="0" w:line="240" w:lineRule="auto"/>
        <w:rPr>
          <w:rFonts w:ascii="Times New Roman" w:hAnsi="Times New Roman" w:cs="Times New Roman"/>
          <w:sz w:val="24"/>
          <w:szCs w:val="24"/>
        </w:rPr>
      </w:pPr>
    </w:p>
    <w:p w:rsidR="00AE6E52" w:rsidRPr="00AE6E52" w:rsidRDefault="00AE6E52" w:rsidP="00AE6E52">
      <w:pPr>
        <w:autoSpaceDE w:val="0"/>
        <w:autoSpaceDN w:val="0"/>
        <w:adjustRightInd w:val="0"/>
        <w:spacing w:after="0" w:line="240" w:lineRule="auto"/>
        <w:rPr>
          <w:rFonts w:ascii="Times New Roman" w:hAnsi="Times New Roman" w:cs="Times New Roman"/>
          <w:sz w:val="24"/>
          <w:szCs w:val="24"/>
        </w:rPr>
      </w:pPr>
    </w:p>
    <w:p w:rsidR="00AE6E52" w:rsidRPr="00AE6E52" w:rsidRDefault="00AE6E52" w:rsidP="00AE6E52">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sidRPr="00AE6E52">
        <w:rPr>
          <w:rFonts w:ascii="Times New Roman" w:hAnsi="Times New Roman" w:cs="Times New Roman"/>
          <w:b/>
          <w:sz w:val="24"/>
          <w:szCs w:val="24"/>
        </w:rPr>
        <w:t>Kommentaarid pöördumise argumentidele</w:t>
      </w:r>
    </w:p>
    <w:p w:rsidR="00AE6E52" w:rsidRDefault="00AE6E52" w:rsidP="00AE6E52">
      <w:pPr>
        <w:autoSpaceDE w:val="0"/>
        <w:autoSpaceDN w:val="0"/>
        <w:adjustRightInd w:val="0"/>
        <w:spacing w:after="0" w:line="240" w:lineRule="auto"/>
        <w:rPr>
          <w:rFonts w:ascii="Times New Roman" w:hAnsi="Times New Roman" w:cs="Times New Roman"/>
          <w:sz w:val="24"/>
          <w:szCs w:val="24"/>
        </w:rPr>
      </w:pPr>
    </w:p>
    <w:p w:rsidR="00FC62E8" w:rsidRDefault="00FC62E8" w:rsidP="002D6864">
      <w:pPr>
        <w:pStyle w:val="ListParagraph"/>
        <w:numPr>
          <w:ilvl w:val="1"/>
          <w:numId w:val="1"/>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Ajaline </w:t>
      </w:r>
      <w:r w:rsidR="00BE5F3B">
        <w:rPr>
          <w:rFonts w:ascii="Times New Roman" w:hAnsi="Times New Roman" w:cs="Times New Roman"/>
          <w:b/>
          <w:sz w:val="24"/>
          <w:szCs w:val="24"/>
        </w:rPr>
        <w:t>mõõde</w:t>
      </w:r>
    </w:p>
    <w:p w:rsidR="00FC62E8" w:rsidRDefault="00FC62E8" w:rsidP="00FC62E8">
      <w:pPr>
        <w:autoSpaceDE w:val="0"/>
        <w:autoSpaceDN w:val="0"/>
        <w:adjustRightInd w:val="0"/>
        <w:spacing w:after="0" w:line="240" w:lineRule="auto"/>
        <w:rPr>
          <w:rFonts w:ascii="Times New Roman" w:hAnsi="Times New Roman" w:cs="Times New Roman"/>
          <w:b/>
          <w:sz w:val="24"/>
          <w:szCs w:val="24"/>
        </w:rPr>
      </w:pPr>
    </w:p>
    <w:p w:rsidR="00414884" w:rsidRDefault="00FC62E8" w:rsidP="00FC62E8">
      <w:pPr>
        <w:autoSpaceDE w:val="0"/>
        <w:autoSpaceDN w:val="0"/>
        <w:adjustRightInd w:val="0"/>
        <w:spacing w:after="0" w:line="240" w:lineRule="auto"/>
        <w:rPr>
          <w:rFonts w:ascii="Times New Roman" w:hAnsi="Times New Roman" w:cs="Times New Roman"/>
          <w:sz w:val="24"/>
          <w:szCs w:val="24"/>
        </w:rPr>
      </w:pPr>
      <w:r w:rsidRPr="00FC62E8">
        <w:rPr>
          <w:rFonts w:ascii="Times New Roman" w:hAnsi="Times New Roman" w:cs="Times New Roman"/>
          <w:sz w:val="24"/>
          <w:szCs w:val="24"/>
        </w:rPr>
        <w:t xml:space="preserve">Pöördumises ei ole täpsustatud </w:t>
      </w:r>
      <w:r>
        <w:rPr>
          <w:rFonts w:ascii="Times New Roman" w:hAnsi="Times New Roman" w:cs="Times New Roman"/>
          <w:sz w:val="24"/>
          <w:szCs w:val="24"/>
        </w:rPr>
        <w:t xml:space="preserve">1000 </w:t>
      </w:r>
      <w:proofErr w:type="spellStart"/>
      <w:r>
        <w:rPr>
          <w:rFonts w:ascii="Times New Roman" w:hAnsi="Times New Roman" w:cs="Times New Roman"/>
          <w:sz w:val="24"/>
          <w:szCs w:val="24"/>
        </w:rPr>
        <w:t>eurose</w:t>
      </w:r>
      <w:proofErr w:type="spellEnd"/>
      <w:r>
        <w:rPr>
          <w:rFonts w:ascii="Times New Roman" w:hAnsi="Times New Roman" w:cs="Times New Roman"/>
          <w:sz w:val="24"/>
          <w:szCs w:val="24"/>
        </w:rPr>
        <w:t xml:space="preserve"> miinimumpalga kehtestamise </w:t>
      </w:r>
      <w:r w:rsidR="00767C8C">
        <w:rPr>
          <w:rFonts w:ascii="Times New Roman" w:hAnsi="Times New Roman" w:cs="Times New Roman"/>
          <w:sz w:val="24"/>
          <w:szCs w:val="24"/>
        </w:rPr>
        <w:t>tähta</w:t>
      </w:r>
      <w:r>
        <w:rPr>
          <w:rFonts w:ascii="Times New Roman" w:hAnsi="Times New Roman" w:cs="Times New Roman"/>
          <w:sz w:val="24"/>
          <w:szCs w:val="24"/>
        </w:rPr>
        <w:t>ega</w:t>
      </w:r>
      <w:r w:rsidR="00C33048">
        <w:rPr>
          <w:rFonts w:ascii="Times New Roman" w:hAnsi="Times New Roman" w:cs="Times New Roman"/>
          <w:sz w:val="24"/>
          <w:szCs w:val="24"/>
        </w:rPr>
        <w:t>, mis teeb sellele hinnangu andmise keeruliseks</w:t>
      </w:r>
      <w:r>
        <w:rPr>
          <w:rFonts w:ascii="Times New Roman" w:hAnsi="Times New Roman" w:cs="Times New Roman"/>
          <w:sz w:val="24"/>
          <w:szCs w:val="24"/>
        </w:rPr>
        <w:t>.</w:t>
      </w:r>
      <w:r w:rsidR="00414884">
        <w:rPr>
          <w:rFonts w:ascii="Times New Roman" w:hAnsi="Times New Roman" w:cs="Times New Roman"/>
          <w:sz w:val="24"/>
          <w:szCs w:val="24"/>
        </w:rPr>
        <w:t xml:space="preserve"> Kümne aasta pärast võiks 1000 </w:t>
      </w:r>
      <w:proofErr w:type="spellStart"/>
      <w:r w:rsidR="00414884">
        <w:rPr>
          <w:rFonts w:ascii="Times New Roman" w:hAnsi="Times New Roman" w:cs="Times New Roman"/>
          <w:sz w:val="24"/>
          <w:szCs w:val="24"/>
        </w:rPr>
        <w:t>eurone</w:t>
      </w:r>
      <w:proofErr w:type="spellEnd"/>
      <w:r w:rsidR="00414884">
        <w:rPr>
          <w:rFonts w:ascii="Times New Roman" w:hAnsi="Times New Roman" w:cs="Times New Roman"/>
          <w:sz w:val="24"/>
          <w:szCs w:val="24"/>
        </w:rPr>
        <w:t xml:space="preserve"> miinimumpalk olla reaalne, moodustades praeguste prognooside kohaselt u 50% keskmisest palgast.</w:t>
      </w:r>
      <w:r>
        <w:rPr>
          <w:rFonts w:ascii="Times New Roman" w:hAnsi="Times New Roman" w:cs="Times New Roman"/>
          <w:sz w:val="24"/>
          <w:szCs w:val="24"/>
        </w:rPr>
        <w:t xml:space="preserve"> </w:t>
      </w:r>
    </w:p>
    <w:p w:rsidR="00414884" w:rsidRDefault="00414884" w:rsidP="00FC62E8">
      <w:pPr>
        <w:autoSpaceDE w:val="0"/>
        <w:autoSpaceDN w:val="0"/>
        <w:adjustRightInd w:val="0"/>
        <w:spacing w:after="0" w:line="240" w:lineRule="auto"/>
        <w:rPr>
          <w:rFonts w:ascii="Times New Roman" w:hAnsi="Times New Roman" w:cs="Times New Roman"/>
          <w:sz w:val="24"/>
          <w:szCs w:val="24"/>
        </w:rPr>
      </w:pPr>
    </w:p>
    <w:p w:rsidR="00FC62E8" w:rsidRPr="00FC62E8" w:rsidRDefault="00FC62E8" w:rsidP="00FC62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Et arutelu miinimumpalga taseme üle</w:t>
      </w:r>
      <w:r w:rsidR="000444DB">
        <w:rPr>
          <w:rFonts w:ascii="Times New Roman" w:hAnsi="Times New Roman" w:cs="Times New Roman"/>
          <w:sz w:val="24"/>
          <w:szCs w:val="24"/>
        </w:rPr>
        <w:t xml:space="preserve"> eurodes</w:t>
      </w:r>
      <w:r>
        <w:rPr>
          <w:rFonts w:ascii="Times New Roman" w:hAnsi="Times New Roman" w:cs="Times New Roman"/>
          <w:sz w:val="24"/>
          <w:szCs w:val="24"/>
        </w:rPr>
        <w:t xml:space="preserve"> oleks läbipaistev ja adekvaatne, tuleks lähtuda praegusest </w:t>
      </w:r>
      <w:r w:rsidR="00767C8C">
        <w:rPr>
          <w:rFonts w:ascii="Times New Roman" w:hAnsi="Times New Roman" w:cs="Times New Roman"/>
          <w:sz w:val="24"/>
          <w:szCs w:val="24"/>
        </w:rPr>
        <w:t xml:space="preserve">keskmisest </w:t>
      </w:r>
      <w:r>
        <w:rPr>
          <w:rFonts w:ascii="Times New Roman" w:hAnsi="Times New Roman" w:cs="Times New Roman"/>
          <w:sz w:val="24"/>
          <w:szCs w:val="24"/>
        </w:rPr>
        <w:t>palga</w:t>
      </w:r>
      <w:r w:rsidR="00414884">
        <w:rPr>
          <w:rFonts w:ascii="Times New Roman" w:hAnsi="Times New Roman" w:cs="Times New Roman"/>
          <w:sz w:val="24"/>
          <w:szCs w:val="24"/>
        </w:rPr>
        <w:t xml:space="preserve">tasemest eurodes ja selles võrdluses ei ole 1000 </w:t>
      </w:r>
      <w:proofErr w:type="spellStart"/>
      <w:r w:rsidR="00414884">
        <w:rPr>
          <w:rFonts w:ascii="Times New Roman" w:hAnsi="Times New Roman" w:cs="Times New Roman"/>
          <w:sz w:val="24"/>
          <w:szCs w:val="24"/>
        </w:rPr>
        <w:t>eurone</w:t>
      </w:r>
      <w:proofErr w:type="spellEnd"/>
      <w:r w:rsidR="00414884">
        <w:rPr>
          <w:rFonts w:ascii="Times New Roman" w:hAnsi="Times New Roman" w:cs="Times New Roman"/>
          <w:sz w:val="24"/>
          <w:szCs w:val="24"/>
        </w:rPr>
        <w:t xml:space="preserve"> miinimumpalk praegu reaalne. Tuleviku osas peaks rääkima miinimumpalga suhtest aritmeetilisse keskmisesse või mediaanpalka ja selle soovitud arengutest.</w:t>
      </w:r>
    </w:p>
    <w:p w:rsidR="00FC62E8" w:rsidRPr="00FC62E8" w:rsidRDefault="00FC62E8" w:rsidP="00FC62E8">
      <w:pPr>
        <w:autoSpaceDE w:val="0"/>
        <w:autoSpaceDN w:val="0"/>
        <w:adjustRightInd w:val="0"/>
        <w:spacing w:after="0" w:line="240" w:lineRule="auto"/>
        <w:rPr>
          <w:rFonts w:ascii="Times New Roman" w:hAnsi="Times New Roman" w:cs="Times New Roman"/>
          <w:b/>
          <w:sz w:val="24"/>
          <w:szCs w:val="24"/>
        </w:rPr>
      </w:pPr>
    </w:p>
    <w:p w:rsidR="002D6864" w:rsidRDefault="00FC62E8" w:rsidP="002D6864">
      <w:pPr>
        <w:pStyle w:val="ListParagraph"/>
        <w:numPr>
          <w:ilvl w:val="1"/>
          <w:numId w:val="1"/>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D6864">
        <w:rPr>
          <w:rFonts w:ascii="Times New Roman" w:hAnsi="Times New Roman" w:cs="Times New Roman"/>
          <w:b/>
          <w:sz w:val="24"/>
          <w:szCs w:val="24"/>
        </w:rPr>
        <w:t>Miinimumpalga regulatsioon Eestis</w:t>
      </w:r>
    </w:p>
    <w:p w:rsidR="002D6864" w:rsidRDefault="002D6864" w:rsidP="002D6864">
      <w:pPr>
        <w:tabs>
          <w:tab w:val="left" w:pos="1317"/>
        </w:tabs>
        <w:autoSpaceDE w:val="0"/>
        <w:autoSpaceDN w:val="0"/>
        <w:adjustRightInd w:val="0"/>
        <w:spacing w:after="0" w:line="240" w:lineRule="auto"/>
        <w:rPr>
          <w:rFonts w:ascii="Times New Roman" w:hAnsi="Times New Roman" w:cs="Times New Roman"/>
          <w:sz w:val="24"/>
          <w:szCs w:val="24"/>
        </w:rPr>
      </w:pPr>
    </w:p>
    <w:p w:rsidR="002D6864" w:rsidRDefault="002D6864" w:rsidP="002D6864">
      <w:pPr>
        <w:tabs>
          <w:tab w:val="left" w:pos="1317"/>
        </w:tabs>
        <w:autoSpaceDE w:val="0"/>
        <w:autoSpaceDN w:val="0"/>
        <w:adjustRightInd w:val="0"/>
        <w:spacing w:after="0" w:line="240" w:lineRule="auto"/>
        <w:rPr>
          <w:rFonts w:ascii="Times New Roman" w:hAnsi="Times New Roman" w:cs="Times New Roman"/>
          <w:sz w:val="24"/>
          <w:szCs w:val="24"/>
        </w:rPr>
      </w:pPr>
      <w:r w:rsidRPr="002D6864">
        <w:rPr>
          <w:rFonts w:ascii="Times New Roman" w:hAnsi="Times New Roman" w:cs="Times New Roman"/>
          <w:sz w:val="24"/>
          <w:szCs w:val="24"/>
        </w:rPr>
        <w:t>Va</w:t>
      </w:r>
      <w:r w:rsidR="001F726E">
        <w:rPr>
          <w:rFonts w:ascii="Times New Roman" w:hAnsi="Times New Roman" w:cs="Times New Roman"/>
          <w:sz w:val="24"/>
          <w:szCs w:val="24"/>
        </w:rPr>
        <w:t>stavalt Töölepingu seaduse § 29 lõikele 5</w:t>
      </w:r>
      <w:r w:rsidRPr="002D6864">
        <w:rPr>
          <w:rFonts w:ascii="Times New Roman" w:hAnsi="Times New Roman" w:cs="Times New Roman"/>
          <w:sz w:val="24"/>
          <w:szCs w:val="24"/>
        </w:rPr>
        <w:t xml:space="preserve"> „Vabariigi valitsus kehtestab määrusega kindlale ajaühikule vastava töötasu alammäära.“ </w:t>
      </w:r>
      <w:r w:rsidR="001F726E">
        <w:rPr>
          <w:rFonts w:ascii="Times New Roman" w:hAnsi="Times New Roman" w:cs="Times New Roman"/>
          <w:sz w:val="24"/>
          <w:szCs w:val="24"/>
        </w:rPr>
        <w:t>V</w:t>
      </w:r>
      <w:r w:rsidRPr="002D6864">
        <w:rPr>
          <w:rFonts w:ascii="Times New Roman" w:hAnsi="Times New Roman" w:cs="Times New Roman"/>
          <w:sz w:val="24"/>
          <w:szCs w:val="24"/>
        </w:rPr>
        <w:t>äljakujunenud tava</w:t>
      </w:r>
      <w:r w:rsidR="001F726E">
        <w:rPr>
          <w:rFonts w:ascii="Times New Roman" w:hAnsi="Times New Roman" w:cs="Times New Roman"/>
          <w:sz w:val="24"/>
          <w:szCs w:val="24"/>
        </w:rPr>
        <w:t xml:space="preserve"> põhjal</w:t>
      </w:r>
      <w:r w:rsidRPr="002D6864">
        <w:rPr>
          <w:rFonts w:ascii="Times New Roman" w:hAnsi="Times New Roman" w:cs="Times New Roman"/>
          <w:sz w:val="24"/>
          <w:szCs w:val="24"/>
        </w:rPr>
        <w:t xml:space="preserve"> võtab valitsus oma otsuse aluseks tööandjate ja ametühingute vahel kollektiivlepingu seaduse alusel sõlmitud </w:t>
      </w:r>
      <w:r w:rsidRPr="002D6864">
        <w:rPr>
          <w:rFonts w:ascii="Times New Roman" w:hAnsi="Times New Roman" w:cs="Times New Roman"/>
          <w:sz w:val="24"/>
          <w:szCs w:val="24"/>
        </w:rPr>
        <w:lastRenderedPageBreak/>
        <w:t>kokkuleppe</w:t>
      </w:r>
      <w:r w:rsidR="001E0767">
        <w:rPr>
          <w:rFonts w:ascii="Times New Roman" w:hAnsi="Times New Roman" w:cs="Times New Roman"/>
          <w:sz w:val="24"/>
          <w:szCs w:val="24"/>
        </w:rPr>
        <w:t xml:space="preserve"> töötasu alammäära osas, mis laieneb ka </w:t>
      </w:r>
      <w:r w:rsidR="001F726E">
        <w:rPr>
          <w:rFonts w:ascii="Times New Roman" w:hAnsi="Times New Roman" w:cs="Times New Roman"/>
          <w:sz w:val="24"/>
          <w:szCs w:val="24"/>
        </w:rPr>
        <w:t>ametühingutega</w:t>
      </w:r>
      <w:r w:rsidR="001E0767">
        <w:rPr>
          <w:rFonts w:ascii="Times New Roman" w:hAnsi="Times New Roman" w:cs="Times New Roman"/>
          <w:sz w:val="24"/>
          <w:szCs w:val="24"/>
        </w:rPr>
        <w:t xml:space="preserve"> mitte hõlmatud töötajatele. </w:t>
      </w:r>
    </w:p>
    <w:p w:rsidR="00F15F56" w:rsidRDefault="00F15F56" w:rsidP="002D6864">
      <w:pPr>
        <w:tabs>
          <w:tab w:val="left" w:pos="1317"/>
        </w:tabs>
        <w:autoSpaceDE w:val="0"/>
        <w:autoSpaceDN w:val="0"/>
        <w:adjustRightInd w:val="0"/>
        <w:spacing w:after="0" w:line="240" w:lineRule="auto"/>
        <w:rPr>
          <w:rFonts w:ascii="Times New Roman" w:hAnsi="Times New Roman" w:cs="Times New Roman"/>
          <w:sz w:val="24"/>
          <w:szCs w:val="24"/>
        </w:rPr>
      </w:pPr>
    </w:p>
    <w:p w:rsidR="00F15F56" w:rsidRDefault="00F15F56" w:rsidP="002D6864">
      <w:pPr>
        <w:tabs>
          <w:tab w:val="left" w:pos="1317"/>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Samas ei ole valitsusel </w:t>
      </w:r>
      <w:r w:rsidR="00652717">
        <w:rPr>
          <w:rFonts w:ascii="Times New Roman" w:hAnsi="Times New Roman" w:cs="Times New Roman"/>
          <w:sz w:val="24"/>
          <w:szCs w:val="24"/>
        </w:rPr>
        <w:t xml:space="preserve">otseselt </w:t>
      </w:r>
      <w:r>
        <w:rPr>
          <w:rFonts w:ascii="Times New Roman" w:hAnsi="Times New Roman" w:cs="Times New Roman"/>
          <w:sz w:val="24"/>
          <w:szCs w:val="24"/>
        </w:rPr>
        <w:t>seadusest tulenevat kohustust kehtestada töötasu alammäär täpselt tööandjate ja ametühingute kokkuleppe kohaselt. Selle kokkuleppe aluseks võtmise poolt räägib põhimõtteliselt asjaolu, et sellisel juhul vastab töötasu alammäär (koos kõigi tööjõumaksudega) Eesti praegusele majanduslikul</w:t>
      </w:r>
      <w:r w:rsidR="0056723D">
        <w:rPr>
          <w:rFonts w:ascii="Times New Roman" w:hAnsi="Times New Roman" w:cs="Times New Roman"/>
          <w:sz w:val="24"/>
          <w:szCs w:val="24"/>
        </w:rPr>
        <w:t>e reaalsusele ehk tööviljakuse miinimumtasemele</w:t>
      </w:r>
      <w:r>
        <w:rPr>
          <w:rFonts w:ascii="Times New Roman" w:hAnsi="Times New Roman" w:cs="Times New Roman"/>
          <w:sz w:val="24"/>
          <w:szCs w:val="24"/>
        </w:rPr>
        <w:t>. Eelduseks on tööandjate ja ametühingute võrdne läbirääkimispositsioon ja adekvaatne analüütiline taustainfo. Arvestades ametühingulisuse ja kollektiivlepingutega kaetuse väga madala tasemega ei tarvitse see eeldus olla</w:t>
      </w:r>
      <w:r w:rsidR="008535D8">
        <w:rPr>
          <w:rFonts w:ascii="Times New Roman" w:hAnsi="Times New Roman" w:cs="Times New Roman"/>
          <w:sz w:val="24"/>
          <w:szCs w:val="24"/>
        </w:rPr>
        <w:t xml:space="preserve"> Eestis</w:t>
      </w:r>
      <w:r>
        <w:rPr>
          <w:rFonts w:ascii="Times New Roman" w:hAnsi="Times New Roman" w:cs="Times New Roman"/>
          <w:sz w:val="24"/>
          <w:szCs w:val="24"/>
        </w:rPr>
        <w:t xml:space="preserve"> täidetud.</w:t>
      </w:r>
    </w:p>
    <w:p w:rsidR="00E66B6B" w:rsidRDefault="00E66B6B" w:rsidP="002D6864">
      <w:pPr>
        <w:tabs>
          <w:tab w:val="left" w:pos="1317"/>
        </w:tabs>
        <w:autoSpaceDE w:val="0"/>
        <w:autoSpaceDN w:val="0"/>
        <w:adjustRightInd w:val="0"/>
        <w:spacing w:after="0" w:line="240" w:lineRule="auto"/>
        <w:rPr>
          <w:rFonts w:ascii="Times New Roman" w:hAnsi="Times New Roman" w:cs="Times New Roman"/>
          <w:sz w:val="24"/>
          <w:szCs w:val="24"/>
        </w:rPr>
      </w:pPr>
    </w:p>
    <w:p w:rsidR="00E66B6B" w:rsidRDefault="00E66B6B" w:rsidP="002D6864">
      <w:pPr>
        <w:tabs>
          <w:tab w:val="left" w:pos="1317"/>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Seega ei ole Riigikogu sekkumine töötasu alammäära sätestamise protsessi hädavajalik, kuid laiapõhjalisem teadmispõhine arutelu ühiskonnas minimaalset inimväärset toimetulekut võimaldava netotöötasu osas võiks olla </w:t>
      </w:r>
      <w:r w:rsidR="00CC3E0B">
        <w:rPr>
          <w:rFonts w:ascii="Times New Roman" w:hAnsi="Times New Roman" w:cs="Times New Roman"/>
          <w:sz w:val="24"/>
          <w:szCs w:val="24"/>
        </w:rPr>
        <w:t>vajalik</w:t>
      </w:r>
      <w:r>
        <w:rPr>
          <w:rFonts w:ascii="Times New Roman" w:hAnsi="Times New Roman" w:cs="Times New Roman"/>
          <w:sz w:val="24"/>
          <w:szCs w:val="24"/>
        </w:rPr>
        <w:t>.</w:t>
      </w:r>
    </w:p>
    <w:p w:rsidR="002D6864" w:rsidRPr="002D6864" w:rsidRDefault="002D6864" w:rsidP="002D6864">
      <w:pPr>
        <w:tabs>
          <w:tab w:val="left" w:pos="1317"/>
        </w:tabs>
        <w:autoSpaceDE w:val="0"/>
        <w:autoSpaceDN w:val="0"/>
        <w:adjustRightInd w:val="0"/>
        <w:spacing w:after="0" w:line="240" w:lineRule="auto"/>
        <w:rPr>
          <w:rFonts w:ascii="Times New Roman" w:hAnsi="Times New Roman" w:cs="Times New Roman"/>
          <w:sz w:val="24"/>
          <w:szCs w:val="24"/>
        </w:rPr>
      </w:pPr>
    </w:p>
    <w:p w:rsidR="00AE6E52" w:rsidRPr="00AE6E52" w:rsidRDefault="00AE6E52" w:rsidP="00AE6E52">
      <w:pPr>
        <w:pStyle w:val="ListParagraph"/>
        <w:numPr>
          <w:ilvl w:val="1"/>
          <w:numId w:val="1"/>
        </w:numPr>
        <w:autoSpaceDE w:val="0"/>
        <w:autoSpaceDN w:val="0"/>
        <w:adjustRightInd w:val="0"/>
        <w:spacing w:after="0" w:line="240" w:lineRule="auto"/>
        <w:rPr>
          <w:rFonts w:ascii="Times New Roman" w:hAnsi="Times New Roman" w:cs="Times New Roman"/>
          <w:b/>
          <w:sz w:val="24"/>
          <w:szCs w:val="24"/>
        </w:rPr>
      </w:pPr>
      <w:r w:rsidRPr="00AE6E52">
        <w:rPr>
          <w:rFonts w:ascii="Times New Roman" w:hAnsi="Times New Roman" w:cs="Times New Roman"/>
          <w:b/>
          <w:sz w:val="24"/>
          <w:szCs w:val="24"/>
        </w:rPr>
        <w:t>Viimastel aastatel ei ole üldine hinnatase hüppeliselt tõusnud</w:t>
      </w:r>
    </w:p>
    <w:p w:rsidR="00AE6E52" w:rsidRDefault="00AE6E52" w:rsidP="00AE6E52">
      <w:pPr>
        <w:autoSpaceDE w:val="0"/>
        <w:autoSpaceDN w:val="0"/>
        <w:adjustRightInd w:val="0"/>
        <w:spacing w:after="0" w:line="240" w:lineRule="auto"/>
        <w:rPr>
          <w:rFonts w:ascii="Times New Roman" w:hAnsi="Times New Roman" w:cs="Times New Roman"/>
          <w:sz w:val="24"/>
          <w:szCs w:val="24"/>
        </w:rPr>
      </w:pPr>
    </w:p>
    <w:p w:rsidR="0043273A" w:rsidRDefault="0043273A" w:rsidP="00AE6E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Joonis </w:t>
      </w:r>
      <w:r w:rsidR="00C35566">
        <w:rPr>
          <w:rFonts w:ascii="Times New Roman" w:hAnsi="Times New Roman" w:cs="Times New Roman"/>
          <w:sz w:val="24"/>
          <w:szCs w:val="24"/>
        </w:rPr>
        <w:t>3</w:t>
      </w:r>
      <w:r>
        <w:rPr>
          <w:rFonts w:ascii="Times New Roman" w:hAnsi="Times New Roman" w:cs="Times New Roman"/>
          <w:sz w:val="24"/>
          <w:szCs w:val="24"/>
        </w:rPr>
        <w:t>. kujutab üldise hinnataseme ja keskmise ning miinimumpalga dünaamikat alates 2004. aastast. Nagu näha, on hinnatase Eestis viimasel ajal olnud stabiilne</w:t>
      </w:r>
      <w:r w:rsidR="001A7D1B">
        <w:rPr>
          <w:rFonts w:ascii="Times New Roman" w:hAnsi="Times New Roman" w:cs="Times New Roman"/>
          <w:sz w:val="24"/>
          <w:szCs w:val="24"/>
        </w:rPr>
        <w:t xml:space="preserve">, samas kui </w:t>
      </w:r>
      <w:r w:rsidR="00814E0B">
        <w:rPr>
          <w:rFonts w:ascii="Times New Roman" w:hAnsi="Times New Roman" w:cs="Times New Roman"/>
          <w:sz w:val="24"/>
          <w:szCs w:val="24"/>
        </w:rPr>
        <w:t xml:space="preserve">keskmine ja </w:t>
      </w:r>
      <w:r w:rsidR="0029622C">
        <w:rPr>
          <w:rFonts w:ascii="Times New Roman" w:hAnsi="Times New Roman" w:cs="Times New Roman"/>
          <w:sz w:val="24"/>
          <w:szCs w:val="24"/>
        </w:rPr>
        <w:t xml:space="preserve">eriti </w:t>
      </w:r>
      <w:r w:rsidR="00814E0B">
        <w:rPr>
          <w:rFonts w:ascii="Times New Roman" w:hAnsi="Times New Roman" w:cs="Times New Roman"/>
          <w:sz w:val="24"/>
          <w:szCs w:val="24"/>
        </w:rPr>
        <w:t xml:space="preserve">miinimumpalk on kasvanud kiires tempos. </w:t>
      </w:r>
      <w:r w:rsidR="00843F00">
        <w:rPr>
          <w:rFonts w:ascii="Times New Roman" w:hAnsi="Times New Roman" w:cs="Times New Roman"/>
          <w:sz w:val="24"/>
          <w:szCs w:val="24"/>
        </w:rPr>
        <w:t xml:space="preserve">Eluasemekulude kasv oli aastatel 2004–2013 tõesti </w:t>
      </w:r>
      <w:r w:rsidR="009D2155">
        <w:rPr>
          <w:rFonts w:ascii="Times New Roman" w:hAnsi="Times New Roman" w:cs="Times New Roman"/>
          <w:sz w:val="24"/>
          <w:szCs w:val="24"/>
        </w:rPr>
        <w:t xml:space="preserve">kiire ja </w:t>
      </w:r>
      <w:r w:rsidR="00843F00">
        <w:rPr>
          <w:rFonts w:ascii="Times New Roman" w:hAnsi="Times New Roman" w:cs="Times New Roman"/>
          <w:sz w:val="24"/>
          <w:szCs w:val="24"/>
        </w:rPr>
        <w:t xml:space="preserve">samas tempos palgakasvuga, kuid viimasel kahel aastal on ka selle kasvutempo peatunud seoses langenud energiahindadega. </w:t>
      </w:r>
      <w:r w:rsidR="00353D2F">
        <w:rPr>
          <w:rFonts w:ascii="Times New Roman" w:hAnsi="Times New Roman" w:cs="Times New Roman"/>
          <w:sz w:val="24"/>
          <w:szCs w:val="24"/>
        </w:rPr>
        <w:t xml:space="preserve">Kuna energiakandjate hinnad on </w:t>
      </w:r>
      <w:proofErr w:type="spellStart"/>
      <w:r w:rsidR="00353D2F">
        <w:rPr>
          <w:rFonts w:ascii="Times New Roman" w:hAnsi="Times New Roman" w:cs="Times New Roman"/>
          <w:sz w:val="24"/>
          <w:szCs w:val="24"/>
        </w:rPr>
        <w:t>volatiilsed</w:t>
      </w:r>
      <w:proofErr w:type="spellEnd"/>
      <w:r w:rsidR="00353D2F">
        <w:rPr>
          <w:rFonts w:ascii="Times New Roman" w:hAnsi="Times New Roman" w:cs="Times New Roman"/>
          <w:sz w:val="24"/>
          <w:szCs w:val="24"/>
        </w:rPr>
        <w:t xml:space="preserve"> ja praegu ajalooliselt suhteliselt madalal tasemel,</w:t>
      </w:r>
      <w:r w:rsidR="00030F27">
        <w:rPr>
          <w:rFonts w:ascii="Times New Roman" w:hAnsi="Times New Roman" w:cs="Times New Roman"/>
          <w:sz w:val="24"/>
          <w:szCs w:val="24"/>
        </w:rPr>
        <w:t xml:space="preserve"> siis võib eluasemekulude kiire kasvutempo pikemas perspektiivis taastuda.</w:t>
      </w:r>
    </w:p>
    <w:p w:rsidR="00843F00" w:rsidRDefault="00843F00" w:rsidP="00AE6E52">
      <w:pPr>
        <w:autoSpaceDE w:val="0"/>
        <w:autoSpaceDN w:val="0"/>
        <w:adjustRightInd w:val="0"/>
        <w:spacing w:after="0" w:line="240" w:lineRule="auto"/>
        <w:rPr>
          <w:rFonts w:ascii="Times New Roman" w:hAnsi="Times New Roman" w:cs="Times New Roman"/>
          <w:sz w:val="24"/>
          <w:szCs w:val="24"/>
        </w:rPr>
      </w:pPr>
    </w:p>
    <w:p w:rsidR="00843F00" w:rsidRDefault="00843F00" w:rsidP="00AE6E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Seega ei saa </w:t>
      </w:r>
      <w:r w:rsidR="00C35566">
        <w:rPr>
          <w:rFonts w:ascii="Times New Roman" w:hAnsi="Times New Roman" w:cs="Times New Roman"/>
          <w:sz w:val="24"/>
          <w:szCs w:val="24"/>
        </w:rPr>
        <w:t>„</w:t>
      </w:r>
      <w:r>
        <w:rPr>
          <w:rFonts w:ascii="Times New Roman" w:hAnsi="Times New Roman" w:cs="Times New Roman"/>
          <w:sz w:val="24"/>
          <w:szCs w:val="24"/>
        </w:rPr>
        <w:t xml:space="preserve">viimaste aastate </w:t>
      </w:r>
      <w:r w:rsidR="00C35566">
        <w:rPr>
          <w:rFonts w:ascii="Times New Roman" w:hAnsi="Times New Roman" w:cs="Times New Roman"/>
          <w:sz w:val="24"/>
          <w:szCs w:val="24"/>
        </w:rPr>
        <w:t xml:space="preserve">hüppeline </w:t>
      </w:r>
      <w:r>
        <w:rPr>
          <w:rFonts w:ascii="Times New Roman" w:hAnsi="Times New Roman" w:cs="Times New Roman"/>
          <w:sz w:val="24"/>
          <w:szCs w:val="24"/>
        </w:rPr>
        <w:t>hinnatõus</w:t>
      </w:r>
      <w:r w:rsidR="00C35566">
        <w:rPr>
          <w:rFonts w:ascii="Times New Roman" w:hAnsi="Times New Roman" w:cs="Times New Roman"/>
          <w:sz w:val="24"/>
          <w:szCs w:val="24"/>
        </w:rPr>
        <w:t>“</w:t>
      </w:r>
      <w:r>
        <w:rPr>
          <w:rFonts w:ascii="Times New Roman" w:hAnsi="Times New Roman" w:cs="Times New Roman"/>
          <w:sz w:val="24"/>
          <w:szCs w:val="24"/>
        </w:rPr>
        <w:t xml:space="preserve"> </w:t>
      </w:r>
      <w:r w:rsidR="009D2155">
        <w:rPr>
          <w:rFonts w:ascii="Times New Roman" w:hAnsi="Times New Roman" w:cs="Times New Roman"/>
          <w:sz w:val="24"/>
          <w:szCs w:val="24"/>
        </w:rPr>
        <w:t xml:space="preserve">olla </w:t>
      </w:r>
      <w:r>
        <w:rPr>
          <w:rFonts w:ascii="Times New Roman" w:hAnsi="Times New Roman" w:cs="Times New Roman"/>
          <w:sz w:val="24"/>
          <w:szCs w:val="24"/>
        </w:rPr>
        <w:t>oluli</w:t>
      </w:r>
      <w:r w:rsidR="007B55D0">
        <w:rPr>
          <w:rFonts w:ascii="Times New Roman" w:hAnsi="Times New Roman" w:cs="Times New Roman"/>
          <w:sz w:val="24"/>
          <w:szCs w:val="24"/>
        </w:rPr>
        <w:t>ne</w:t>
      </w:r>
      <w:r>
        <w:rPr>
          <w:rFonts w:ascii="Times New Roman" w:hAnsi="Times New Roman" w:cs="Times New Roman"/>
          <w:sz w:val="24"/>
          <w:szCs w:val="24"/>
        </w:rPr>
        <w:t xml:space="preserve"> argumen</w:t>
      </w:r>
      <w:r w:rsidR="007B55D0">
        <w:rPr>
          <w:rFonts w:ascii="Times New Roman" w:hAnsi="Times New Roman" w:cs="Times New Roman"/>
          <w:sz w:val="24"/>
          <w:szCs w:val="24"/>
        </w:rPr>
        <w:t>t</w:t>
      </w:r>
      <w:r>
        <w:rPr>
          <w:rFonts w:ascii="Times New Roman" w:hAnsi="Times New Roman" w:cs="Times New Roman"/>
          <w:sz w:val="24"/>
          <w:szCs w:val="24"/>
        </w:rPr>
        <w:t xml:space="preserve"> miinimumpalga </w:t>
      </w:r>
      <w:r w:rsidR="00C35566">
        <w:rPr>
          <w:rFonts w:ascii="Times New Roman" w:hAnsi="Times New Roman" w:cs="Times New Roman"/>
          <w:sz w:val="24"/>
          <w:szCs w:val="24"/>
        </w:rPr>
        <w:t>märkimisväärse</w:t>
      </w:r>
      <w:r w:rsidR="007B55D0">
        <w:rPr>
          <w:rFonts w:ascii="Times New Roman" w:hAnsi="Times New Roman" w:cs="Times New Roman"/>
          <w:sz w:val="24"/>
          <w:szCs w:val="24"/>
        </w:rPr>
        <w:t>ks</w:t>
      </w:r>
      <w:r w:rsidR="00353D2F">
        <w:rPr>
          <w:rFonts w:ascii="Times New Roman" w:hAnsi="Times New Roman" w:cs="Times New Roman"/>
          <w:sz w:val="24"/>
          <w:szCs w:val="24"/>
        </w:rPr>
        <w:t xml:space="preserve"> tõstmise</w:t>
      </w:r>
      <w:r w:rsidR="007B55D0">
        <w:rPr>
          <w:rFonts w:ascii="Times New Roman" w:hAnsi="Times New Roman" w:cs="Times New Roman"/>
          <w:sz w:val="24"/>
          <w:szCs w:val="24"/>
        </w:rPr>
        <w:t>ks</w:t>
      </w:r>
      <w:r w:rsidR="00353D2F">
        <w:rPr>
          <w:rFonts w:ascii="Times New Roman" w:hAnsi="Times New Roman" w:cs="Times New Roman"/>
          <w:sz w:val="24"/>
          <w:szCs w:val="24"/>
        </w:rPr>
        <w:t>, küll aga on oluline jälgida, et sundkulutuste</w:t>
      </w:r>
      <w:r w:rsidR="007B55D0">
        <w:rPr>
          <w:rFonts w:ascii="Times New Roman" w:hAnsi="Times New Roman" w:cs="Times New Roman"/>
          <w:sz w:val="24"/>
          <w:szCs w:val="24"/>
        </w:rPr>
        <w:t xml:space="preserve"> (eluase, toit, transport)</w:t>
      </w:r>
      <w:r w:rsidR="00353D2F">
        <w:rPr>
          <w:rFonts w:ascii="Times New Roman" w:hAnsi="Times New Roman" w:cs="Times New Roman"/>
          <w:sz w:val="24"/>
          <w:szCs w:val="24"/>
        </w:rPr>
        <w:t xml:space="preserve"> osakaal väikese sissetulekutega leibkondadel ei muutuks ebaproportsionaalselt kõrgeks.</w:t>
      </w:r>
    </w:p>
    <w:p w:rsidR="0043273A" w:rsidRDefault="0043273A" w:rsidP="00AE6E52">
      <w:pPr>
        <w:autoSpaceDE w:val="0"/>
        <w:autoSpaceDN w:val="0"/>
        <w:adjustRightInd w:val="0"/>
        <w:spacing w:after="0" w:line="240" w:lineRule="auto"/>
        <w:rPr>
          <w:rFonts w:ascii="Times New Roman" w:hAnsi="Times New Roman" w:cs="Times New Roman"/>
          <w:sz w:val="24"/>
          <w:szCs w:val="24"/>
        </w:rPr>
      </w:pPr>
    </w:p>
    <w:p w:rsidR="00AE6E52" w:rsidRPr="0043273A" w:rsidRDefault="0043273A" w:rsidP="00AE6E52">
      <w:pPr>
        <w:autoSpaceDE w:val="0"/>
        <w:autoSpaceDN w:val="0"/>
        <w:adjustRightInd w:val="0"/>
        <w:spacing w:after="0" w:line="240" w:lineRule="auto"/>
        <w:rPr>
          <w:rFonts w:cs="Times New Roman"/>
          <w:b/>
        </w:rPr>
      </w:pPr>
      <w:r w:rsidRPr="0043273A">
        <w:rPr>
          <w:rFonts w:cs="Times New Roman"/>
          <w:b/>
        </w:rPr>
        <w:t xml:space="preserve">Joonis </w:t>
      </w:r>
      <w:r w:rsidR="00C35566">
        <w:rPr>
          <w:rFonts w:cs="Times New Roman"/>
          <w:b/>
        </w:rPr>
        <w:t>3</w:t>
      </w:r>
      <w:r w:rsidRPr="0043273A">
        <w:rPr>
          <w:rFonts w:cs="Times New Roman"/>
          <w:b/>
        </w:rPr>
        <w:t>. Hindade ja palkade tasemed 2004. aasta suhtes</w:t>
      </w:r>
      <w:r w:rsidR="00814E0B">
        <w:rPr>
          <w:rFonts w:cs="Times New Roman"/>
          <w:b/>
        </w:rPr>
        <w:t>, indeks, 2004=100</w:t>
      </w:r>
      <w:r w:rsidRPr="0043273A">
        <w:rPr>
          <w:rFonts w:cs="Times New Roman"/>
          <w:b/>
        </w:rPr>
        <w:t>.</w:t>
      </w:r>
    </w:p>
    <w:p w:rsidR="002E6C1B" w:rsidRDefault="002E6C1B" w:rsidP="00AE6E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t-EE"/>
        </w:rPr>
        <w:drawing>
          <wp:inline distT="0" distB="0" distL="0" distR="0">
            <wp:extent cx="5415098" cy="25913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3273A" w:rsidRDefault="0043273A" w:rsidP="00AE6E52">
      <w:pPr>
        <w:autoSpaceDE w:val="0"/>
        <w:autoSpaceDN w:val="0"/>
        <w:adjustRightInd w:val="0"/>
        <w:spacing w:after="0" w:line="240" w:lineRule="auto"/>
        <w:rPr>
          <w:rFonts w:cs="Times New Roman"/>
          <w:i/>
        </w:rPr>
      </w:pPr>
      <w:r w:rsidRPr="0043273A">
        <w:rPr>
          <w:rFonts w:cs="Times New Roman"/>
          <w:i/>
        </w:rPr>
        <w:t>Allikas: Statistikaamet</w:t>
      </w:r>
    </w:p>
    <w:p w:rsidR="0043273A" w:rsidRDefault="0043273A" w:rsidP="00AE6E52">
      <w:pPr>
        <w:autoSpaceDE w:val="0"/>
        <w:autoSpaceDN w:val="0"/>
        <w:adjustRightInd w:val="0"/>
        <w:spacing w:after="0" w:line="240" w:lineRule="auto"/>
        <w:rPr>
          <w:rFonts w:cs="Times New Roman"/>
          <w:i/>
        </w:rPr>
      </w:pPr>
    </w:p>
    <w:p w:rsidR="00B83C64" w:rsidRDefault="00B83C64">
      <w:pPr>
        <w:rPr>
          <w:rFonts w:ascii="Times New Roman" w:hAnsi="Times New Roman" w:cs="Times New Roman"/>
          <w:b/>
          <w:sz w:val="24"/>
          <w:szCs w:val="24"/>
        </w:rPr>
      </w:pPr>
      <w:r>
        <w:rPr>
          <w:rFonts w:ascii="Times New Roman" w:hAnsi="Times New Roman" w:cs="Times New Roman"/>
          <w:b/>
          <w:sz w:val="24"/>
          <w:szCs w:val="24"/>
        </w:rPr>
        <w:br w:type="page"/>
      </w:r>
    </w:p>
    <w:p w:rsidR="0043273A" w:rsidRPr="00830606" w:rsidRDefault="00830606" w:rsidP="00830606">
      <w:pPr>
        <w:pStyle w:val="ListParagraph"/>
        <w:numPr>
          <w:ilvl w:val="1"/>
          <w:numId w:val="1"/>
        </w:numPr>
        <w:autoSpaceDE w:val="0"/>
        <w:autoSpaceDN w:val="0"/>
        <w:adjustRightInd w:val="0"/>
        <w:spacing w:after="0" w:line="240" w:lineRule="auto"/>
        <w:rPr>
          <w:rFonts w:ascii="Times New Roman" w:hAnsi="Times New Roman" w:cs="Times New Roman"/>
          <w:b/>
          <w:sz w:val="24"/>
          <w:szCs w:val="24"/>
        </w:rPr>
      </w:pPr>
      <w:r w:rsidRPr="00830606">
        <w:rPr>
          <w:rFonts w:ascii="Times New Roman" w:hAnsi="Times New Roman" w:cs="Times New Roman"/>
          <w:b/>
          <w:sz w:val="24"/>
          <w:szCs w:val="24"/>
        </w:rPr>
        <w:lastRenderedPageBreak/>
        <w:t>Väljarände peatamine</w:t>
      </w:r>
    </w:p>
    <w:p w:rsidR="00830606" w:rsidRDefault="00830606" w:rsidP="00830606">
      <w:pPr>
        <w:autoSpaceDE w:val="0"/>
        <w:autoSpaceDN w:val="0"/>
        <w:adjustRightInd w:val="0"/>
        <w:spacing w:after="0" w:line="240" w:lineRule="auto"/>
        <w:rPr>
          <w:rFonts w:ascii="Times New Roman" w:hAnsi="Times New Roman" w:cs="Times New Roman"/>
          <w:sz w:val="24"/>
          <w:szCs w:val="24"/>
        </w:rPr>
      </w:pPr>
    </w:p>
    <w:p w:rsidR="00F22DF1" w:rsidRDefault="00730F72" w:rsidP="00F22D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Ebapiisav töötasu on ilmselt üks oluline väljarände põhjus</w:t>
      </w:r>
      <w:r w:rsidR="00784043">
        <w:rPr>
          <w:rFonts w:ascii="Times New Roman" w:hAnsi="Times New Roman" w:cs="Times New Roman"/>
          <w:sz w:val="24"/>
          <w:szCs w:val="24"/>
        </w:rPr>
        <w:t xml:space="preserve"> ja sellele viitab ka väljarännanute ametialane profiil</w:t>
      </w:r>
      <w:r>
        <w:rPr>
          <w:rFonts w:ascii="Times New Roman" w:hAnsi="Times New Roman" w:cs="Times New Roman"/>
          <w:sz w:val="24"/>
          <w:szCs w:val="24"/>
        </w:rPr>
        <w:t xml:space="preserve">. </w:t>
      </w:r>
      <w:r w:rsidR="00784043">
        <w:rPr>
          <w:rFonts w:ascii="Times New Roman" w:hAnsi="Times New Roman" w:cs="Times New Roman"/>
          <w:sz w:val="24"/>
          <w:szCs w:val="24"/>
        </w:rPr>
        <w:t xml:space="preserve">Eestist välja rännanute seas on ebaproportsionaalselt palju ametnikke ja klienditeenindajaid – kui Eestis töötavatest inimestest on selle ametiala osakaal </w:t>
      </w:r>
      <w:r w:rsidR="001A027E">
        <w:rPr>
          <w:rFonts w:ascii="Times New Roman" w:hAnsi="Times New Roman" w:cs="Times New Roman"/>
          <w:sz w:val="24"/>
          <w:szCs w:val="24"/>
        </w:rPr>
        <w:t>16%</w:t>
      </w:r>
      <w:r w:rsidR="00784043">
        <w:rPr>
          <w:rFonts w:ascii="Times New Roman" w:hAnsi="Times New Roman" w:cs="Times New Roman"/>
          <w:sz w:val="24"/>
          <w:szCs w:val="24"/>
        </w:rPr>
        <w:t>, siis väljarännanute seas</w:t>
      </w:r>
      <w:r w:rsidR="001A027E">
        <w:rPr>
          <w:rFonts w:ascii="Times New Roman" w:hAnsi="Times New Roman" w:cs="Times New Roman"/>
          <w:sz w:val="24"/>
          <w:szCs w:val="24"/>
        </w:rPr>
        <w:t xml:space="preserve"> 23%</w:t>
      </w:r>
      <w:r w:rsidR="001A027E">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784043">
        <w:rPr>
          <w:rFonts w:ascii="Times New Roman" w:hAnsi="Times New Roman" w:cs="Times New Roman"/>
          <w:sz w:val="24"/>
          <w:szCs w:val="24"/>
        </w:rPr>
        <w:t xml:space="preserve">Ülejäänud ametialadel vastab väljarännanute proportsioon Eestis töötajate omale. </w:t>
      </w:r>
      <w:r>
        <w:rPr>
          <w:rFonts w:ascii="Times New Roman" w:hAnsi="Times New Roman" w:cs="Times New Roman"/>
          <w:sz w:val="24"/>
          <w:szCs w:val="24"/>
        </w:rPr>
        <w:t>Klienditeenindaja</w:t>
      </w:r>
      <w:r w:rsidR="001A027E">
        <w:rPr>
          <w:rFonts w:ascii="Times New Roman" w:hAnsi="Times New Roman" w:cs="Times New Roman"/>
          <w:sz w:val="24"/>
          <w:szCs w:val="24"/>
        </w:rPr>
        <w:t xml:space="preserve">te palk on märkimisväärselt alla Eesti keskmise ja seetõttu on nende hulgas ka suhteliselt palju madalapalgalisi. Väljarände peatamiseks alampalga tõstmisest üksi ei piisa, aga </w:t>
      </w:r>
      <w:r w:rsidR="00B950EE">
        <w:rPr>
          <w:rFonts w:ascii="Times New Roman" w:hAnsi="Times New Roman" w:cs="Times New Roman"/>
          <w:sz w:val="24"/>
          <w:szCs w:val="24"/>
        </w:rPr>
        <w:t xml:space="preserve">selle mõju rändesaldole võib olla </w:t>
      </w:r>
      <w:r w:rsidR="003076CA">
        <w:rPr>
          <w:rFonts w:ascii="Times New Roman" w:hAnsi="Times New Roman" w:cs="Times New Roman"/>
          <w:sz w:val="24"/>
          <w:szCs w:val="24"/>
        </w:rPr>
        <w:t xml:space="preserve">Eesti jaoks </w:t>
      </w:r>
      <w:r w:rsidR="00B950EE">
        <w:rPr>
          <w:rFonts w:ascii="Times New Roman" w:hAnsi="Times New Roman" w:cs="Times New Roman"/>
          <w:sz w:val="24"/>
          <w:szCs w:val="24"/>
        </w:rPr>
        <w:t xml:space="preserve">positiivne. </w:t>
      </w:r>
    </w:p>
    <w:p w:rsidR="00A70035" w:rsidRDefault="00A70035" w:rsidP="00F22DF1">
      <w:pPr>
        <w:autoSpaceDE w:val="0"/>
        <w:autoSpaceDN w:val="0"/>
        <w:adjustRightInd w:val="0"/>
        <w:spacing w:after="0" w:line="240" w:lineRule="auto"/>
        <w:rPr>
          <w:rFonts w:ascii="Times New Roman" w:hAnsi="Times New Roman" w:cs="Times New Roman"/>
          <w:sz w:val="24"/>
          <w:szCs w:val="24"/>
        </w:rPr>
      </w:pPr>
    </w:p>
    <w:p w:rsidR="00A70035" w:rsidRDefault="00A70035" w:rsidP="00F22DF1">
      <w:pPr>
        <w:autoSpaceDE w:val="0"/>
        <w:autoSpaceDN w:val="0"/>
        <w:adjustRightInd w:val="0"/>
        <w:spacing w:after="0" w:line="240" w:lineRule="auto"/>
        <w:rPr>
          <w:rFonts w:ascii="Times New Roman" w:hAnsi="Times New Roman" w:cs="Times New Roman"/>
          <w:sz w:val="24"/>
          <w:szCs w:val="24"/>
        </w:rPr>
      </w:pPr>
    </w:p>
    <w:p w:rsidR="00784043" w:rsidRDefault="00784043">
      <w:pPr>
        <w:rPr>
          <w:rFonts w:ascii="Times New Roman" w:hAnsi="Times New Roman" w:cs="Times New Roman"/>
          <w:b/>
          <w:sz w:val="24"/>
          <w:szCs w:val="24"/>
        </w:rPr>
      </w:pPr>
    </w:p>
    <w:p w:rsidR="005C1F85" w:rsidRPr="005C1F85" w:rsidRDefault="005C1F85" w:rsidP="005C1F85">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sidRPr="005C1F85">
        <w:rPr>
          <w:rFonts w:ascii="Times New Roman" w:hAnsi="Times New Roman" w:cs="Times New Roman"/>
          <w:b/>
          <w:sz w:val="24"/>
          <w:szCs w:val="24"/>
        </w:rPr>
        <w:t>Rahandusministeeriumi seisukoht</w:t>
      </w:r>
    </w:p>
    <w:p w:rsidR="005C1F85" w:rsidRDefault="005C1F85" w:rsidP="005C1F85">
      <w:pPr>
        <w:autoSpaceDE w:val="0"/>
        <w:autoSpaceDN w:val="0"/>
        <w:adjustRightInd w:val="0"/>
        <w:spacing w:after="0" w:line="240" w:lineRule="auto"/>
        <w:rPr>
          <w:rFonts w:ascii="Times New Roman" w:hAnsi="Times New Roman" w:cs="Times New Roman"/>
          <w:sz w:val="24"/>
          <w:szCs w:val="24"/>
        </w:rPr>
      </w:pPr>
    </w:p>
    <w:p w:rsidR="003D53D2" w:rsidRDefault="00E86EDE" w:rsidP="005C1F85">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1000 </w:t>
      </w:r>
      <w:proofErr w:type="spellStart"/>
      <w:r>
        <w:rPr>
          <w:rFonts w:ascii="Times New Roman" w:hAnsi="Times New Roman" w:cs="Times New Roman"/>
          <w:sz w:val="24"/>
          <w:szCs w:val="24"/>
        </w:rPr>
        <w:t>eurone</w:t>
      </w:r>
      <w:proofErr w:type="spellEnd"/>
      <w:r>
        <w:rPr>
          <w:rFonts w:ascii="Times New Roman" w:hAnsi="Times New Roman" w:cs="Times New Roman"/>
          <w:sz w:val="24"/>
          <w:szCs w:val="24"/>
        </w:rPr>
        <w:t xml:space="preserve"> miinimumpalk </w:t>
      </w:r>
      <w:r w:rsidR="00A63897">
        <w:rPr>
          <w:rFonts w:ascii="Times New Roman" w:hAnsi="Times New Roman" w:cs="Times New Roman"/>
          <w:sz w:val="24"/>
          <w:szCs w:val="24"/>
        </w:rPr>
        <w:t>sama kõrge</w:t>
      </w:r>
      <w:r w:rsidR="003D53D2">
        <w:rPr>
          <w:rFonts w:ascii="Times New Roman" w:hAnsi="Times New Roman" w:cs="Times New Roman"/>
          <w:sz w:val="24"/>
          <w:szCs w:val="24"/>
        </w:rPr>
        <w:t xml:space="preserve"> keskmise palga juures, ei vasta</w:t>
      </w:r>
      <w:r>
        <w:rPr>
          <w:rFonts w:ascii="Times New Roman" w:hAnsi="Times New Roman" w:cs="Times New Roman"/>
          <w:sz w:val="24"/>
          <w:szCs w:val="24"/>
        </w:rPr>
        <w:t xml:space="preserve"> ei</w:t>
      </w:r>
      <w:r w:rsidR="003D53D2">
        <w:rPr>
          <w:rFonts w:ascii="Times New Roman" w:hAnsi="Times New Roman" w:cs="Times New Roman"/>
          <w:sz w:val="24"/>
          <w:szCs w:val="24"/>
        </w:rPr>
        <w:t xml:space="preserve"> Eesti </w:t>
      </w:r>
      <w:r>
        <w:rPr>
          <w:rFonts w:ascii="Times New Roman" w:hAnsi="Times New Roman" w:cs="Times New Roman"/>
          <w:sz w:val="24"/>
          <w:szCs w:val="24"/>
        </w:rPr>
        <w:t xml:space="preserve">ega ühegi teise </w:t>
      </w:r>
      <w:r w:rsidR="003D53D2">
        <w:rPr>
          <w:rFonts w:ascii="Times New Roman" w:hAnsi="Times New Roman" w:cs="Times New Roman"/>
          <w:sz w:val="24"/>
          <w:szCs w:val="24"/>
        </w:rPr>
        <w:t xml:space="preserve">majanduse võimalustele. </w:t>
      </w:r>
      <w:r w:rsidR="007606A5">
        <w:rPr>
          <w:rFonts w:ascii="Times New Roman" w:hAnsi="Times New Roman" w:cs="Times New Roman"/>
          <w:sz w:val="24"/>
          <w:szCs w:val="24"/>
        </w:rPr>
        <w:t xml:space="preserve">Ühtlasi on matemaatiliselt võimatu, et miinimumpalk on kõrgem kui palga mediaan (millest pooled töötajad saavad rohkem ja pooled vähem), mis on Eestis umbes </w:t>
      </w:r>
      <w:r w:rsidR="00B965EE">
        <w:rPr>
          <w:rFonts w:ascii="Times New Roman" w:hAnsi="Times New Roman" w:cs="Times New Roman"/>
          <w:sz w:val="24"/>
          <w:szCs w:val="24"/>
        </w:rPr>
        <w:t>75</w:t>
      </w:r>
      <w:r w:rsidR="007606A5">
        <w:rPr>
          <w:rFonts w:ascii="Times New Roman" w:hAnsi="Times New Roman" w:cs="Times New Roman"/>
          <w:sz w:val="24"/>
          <w:szCs w:val="24"/>
        </w:rPr>
        <w:t>0 eurot.</w:t>
      </w:r>
      <w:r w:rsidR="003D53D2">
        <w:rPr>
          <w:rFonts w:ascii="Times New Roman" w:hAnsi="Times New Roman" w:cs="Times New Roman"/>
          <w:sz w:val="24"/>
          <w:szCs w:val="24"/>
        </w:rPr>
        <w:br/>
      </w:r>
    </w:p>
    <w:p w:rsidR="00D70FA0" w:rsidRDefault="00BE4F7D" w:rsidP="00205458">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Tuleks s</w:t>
      </w:r>
      <w:r w:rsidR="005C1F85">
        <w:rPr>
          <w:rFonts w:ascii="Times New Roman" w:hAnsi="Times New Roman" w:cs="Times New Roman"/>
          <w:sz w:val="24"/>
          <w:szCs w:val="24"/>
        </w:rPr>
        <w:t xml:space="preserve">uurendada ametühingute ja tööandjate vaheliste alampalga läbirääkimiste teadmispõhisust ja läbipaistvust, et teada saada </w:t>
      </w:r>
      <w:r w:rsidR="0064036F">
        <w:rPr>
          <w:rFonts w:ascii="Times New Roman" w:hAnsi="Times New Roman" w:cs="Times New Roman"/>
          <w:sz w:val="24"/>
          <w:szCs w:val="24"/>
        </w:rPr>
        <w:t xml:space="preserve">Eesti praegusele arengutasemele </w:t>
      </w:r>
      <w:r w:rsidR="00D71D35">
        <w:rPr>
          <w:rFonts w:ascii="Times New Roman" w:hAnsi="Times New Roman" w:cs="Times New Roman"/>
          <w:sz w:val="24"/>
          <w:szCs w:val="24"/>
        </w:rPr>
        <w:t xml:space="preserve">majanduslikult </w:t>
      </w:r>
      <w:r w:rsidR="0064036F">
        <w:rPr>
          <w:rFonts w:ascii="Times New Roman" w:hAnsi="Times New Roman" w:cs="Times New Roman"/>
          <w:sz w:val="24"/>
          <w:szCs w:val="24"/>
        </w:rPr>
        <w:t>jõukohane minimaalne tööjõukulude tase.</w:t>
      </w:r>
      <w:r w:rsidR="00205458">
        <w:rPr>
          <w:rFonts w:ascii="Times New Roman" w:hAnsi="Times New Roman" w:cs="Times New Roman"/>
          <w:sz w:val="24"/>
          <w:szCs w:val="24"/>
        </w:rPr>
        <w:br/>
      </w:r>
      <w:r w:rsidR="00205458">
        <w:rPr>
          <w:rFonts w:ascii="Times New Roman" w:hAnsi="Times New Roman" w:cs="Times New Roman"/>
          <w:sz w:val="24"/>
          <w:szCs w:val="24"/>
        </w:rPr>
        <w:br/>
        <w:t>(</w:t>
      </w:r>
      <w:r w:rsidR="00D70FA0">
        <w:rPr>
          <w:rFonts w:ascii="Times New Roman" w:hAnsi="Times New Roman" w:cs="Times New Roman"/>
          <w:sz w:val="24"/>
          <w:szCs w:val="24"/>
        </w:rPr>
        <w:t>Mitmetes riikides on</w:t>
      </w:r>
      <w:r w:rsidR="00205458">
        <w:rPr>
          <w:rFonts w:ascii="Times New Roman" w:hAnsi="Times New Roman" w:cs="Times New Roman"/>
          <w:sz w:val="24"/>
          <w:szCs w:val="24"/>
        </w:rPr>
        <w:t xml:space="preserve"> moodustatud sõltumatu ekspertkomisjon, mis võiks anda majanduslikult ja sotsiaalselt argumenteeritud soovitusi palga-, maksu- ja toetuspoliitikate kohta madalpalgaliste toimetuleku tagamiseks.)</w:t>
      </w:r>
      <w:r w:rsidR="00205458">
        <w:rPr>
          <w:rStyle w:val="FootnoteReference"/>
          <w:rFonts w:ascii="Times New Roman" w:hAnsi="Times New Roman" w:cs="Times New Roman"/>
          <w:sz w:val="24"/>
          <w:szCs w:val="24"/>
        </w:rPr>
        <w:footnoteReference w:id="3"/>
      </w:r>
      <w:r w:rsidR="00D70FA0">
        <w:rPr>
          <w:rFonts w:ascii="Times New Roman" w:hAnsi="Times New Roman" w:cs="Times New Roman"/>
          <w:sz w:val="24"/>
          <w:szCs w:val="24"/>
        </w:rPr>
        <w:br/>
      </w:r>
    </w:p>
    <w:p w:rsidR="005C1F85" w:rsidRPr="00205458" w:rsidRDefault="00D70FA0" w:rsidP="00205458">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Kaaluda </w:t>
      </w:r>
      <w:r w:rsidR="00BE4F7D">
        <w:rPr>
          <w:rFonts w:ascii="Times New Roman" w:hAnsi="Times New Roman" w:cs="Times New Roman"/>
          <w:sz w:val="24"/>
          <w:szCs w:val="24"/>
        </w:rPr>
        <w:t xml:space="preserve">diferentseeritud </w:t>
      </w:r>
      <w:r w:rsidR="00697258">
        <w:rPr>
          <w:rFonts w:ascii="Times New Roman" w:hAnsi="Times New Roman" w:cs="Times New Roman"/>
          <w:sz w:val="24"/>
          <w:szCs w:val="24"/>
        </w:rPr>
        <w:t>(</w:t>
      </w:r>
      <w:r>
        <w:rPr>
          <w:rFonts w:ascii="Times New Roman" w:hAnsi="Times New Roman" w:cs="Times New Roman"/>
          <w:sz w:val="24"/>
          <w:szCs w:val="24"/>
        </w:rPr>
        <w:t>madalamat</w:t>
      </w:r>
      <w:r w:rsidR="00697258">
        <w:rPr>
          <w:rFonts w:ascii="Times New Roman" w:hAnsi="Times New Roman" w:cs="Times New Roman"/>
          <w:sz w:val="24"/>
          <w:szCs w:val="24"/>
        </w:rPr>
        <w:t>)</w:t>
      </w:r>
      <w:r>
        <w:rPr>
          <w:rFonts w:ascii="Times New Roman" w:hAnsi="Times New Roman" w:cs="Times New Roman"/>
          <w:sz w:val="24"/>
          <w:szCs w:val="24"/>
        </w:rPr>
        <w:t xml:space="preserve"> palga alammäära </w:t>
      </w:r>
      <w:r w:rsidR="00697258">
        <w:rPr>
          <w:rFonts w:ascii="Times New Roman" w:hAnsi="Times New Roman" w:cs="Times New Roman"/>
          <w:sz w:val="24"/>
          <w:szCs w:val="24"/>
        </w:rPr>
        <w:t xml:space="preserve">näiteks regionaalselt või </w:t>
      </w:r>
      <w:r w:rsidR="008370C0">
        <w:rPr>
          <w:rFonts w:ascii="Times New Roman" w:hAnsi="Times New Roman" w:cs="Times New Roman"/>
          <w:sz w:val="24"/>
          <w:szCs w:val="24"/>
        </w:rPr>
        <w:t>muudest kriteeriumidest lähtudes</w:t>
      </w:r>
      <w:r w:rsidR="00351E16">
        <w:rPr>
          <w:rFonts w:ascii="Times New Roman" w:hAnsi="Times New Roman" w:cs="Times New Roman"/>
          <w:sz w:val="24"/>
          <w:szCs w:val="24"/>
        </w:rPr>
        <w:t>.</w:t>
      </w:r>
      <w:r w:rsidR="005C1F85" w:rsidRPr="00205458">
        <w:rPr>
          <w:rFonts w:ascii="Times New Roman" w:hAnsi="Times New Roman" w:cs="Times New Roman"/>
          <w:sz w:val="24"/>
          <w:szCs w:val="24"/>
        </w:rPr>
        <w:br/>
      </w:r>
    </w:p>
    <w:p w:rsidR="005C1F85" w:rsidRPr="005C1F85" w:rsidRDefault="005C1F85" w:rsidP="005C1F85">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Vaadata alampalka, maksusüsteemi ja toimetulekutoetusi tervikuna, et </w:t>
      </w:r>
      <w:r w:rsidR="003C1F17">
        <w:rPr>
          <w:rFonts w:ascii="Times New Roman" w:hAnsi="Times New Roman" w:cs="Times New Roman"/>
          <w:sz w:val="24"/>
          <w:szCs w:val="24"/>
        </w:rPr>
        <w:t>töötamine ka objektiivselt madalapalgalistel ametikohtadel ol</w:t>
      </w:r>
      <w:r w:rsidR="00D71D35">
        <w:rPr>
          <w:rFonts w:ascii="Times New Roman" w:hAnsi="Times New Roman" w:cs="Times New Roman"/>
          <w:sz w:val="24"/>
          <w:szCs w:val="24"/>
        </w:rPr>
        <w:t xml:space="preserve">eks majanduslikult motiveeritud </w:t>
      </w:r>
      <w:r w:rsidR="000A622C">
        <w:rPr>
          <w:rFonts w:ascii="Times New Roman" w:hAnsi="Times New Roman" w:cs="Times New Roman"/>
          <w:sz w:val="24"/>
          <w:szCs w:val="24"/>
        </w:rPr>
        <w:t xml:space="preserve">ning </w:t>
      </w:r>
      <w:r w:rsidR="00D71D35">
        <w:rPr>
          <w:rFonts w:ascii="Times New Roman" w:hAnsi="Times New Roman" w:cs="Times New Roman"/>
          <w:sz w:val="24"/>
          <w:szCs w:val="24"/>
        </w:rPr>
        <w:t xml:space="preserve">perede sissetulekud kõigist tuluallikatest </w:t>
      </w:r>
      <w:r w:rsidR="00A63897">
        <w:rPr>
          <w:rFonts w:ascii="Times New Roman" w:hAnsi="Times New Roman" w:cs="Times New Roman"/>
          <w:sz w:val="24"/>
          <w:szCs w:val="24"/>
        </w:rPr>
        <w:t>võimaldaksid inimväärset toimetulekut</w:t>
      </w:r>
      <w:r w:rsidR="00D71D35">
        <w:rPr>
          <w:rFonts w:ascii="Times New Roman" w:hAnsi="Times New Roman" w:cs="Times New Roman"/>
          <w:sz w:val="24"/>
          <w:szCs w:val="24"/>
        </w:rPr>
        <w:t xml:space="preserve">. </w:t>
      </w:r>
    </w:p>
    <w:sectPr w:rsidR="005C1F85" w:rsidRPr="005C1F85" w:rsidSect="00E9509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110" w:rsidRDefault="00090110" w:rsidP="00DD55B0">
      <w:pPr>
        <w:spacing w:after="0" w:line="240" w:lineRule="auto"/>
      </w:pPr>
      <w:r>
        <w:separator/>
      </w:r>
    </w:p>
  </w:endnote>
  <w:endnote w:type="continuationSeparator" w:id="0">
    <w:p w:rsidR="00090110" w:rsidRDefault="00090110" w:rsidP="00DD5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110" w:rsidRDefault="00090110" w:rsidP="00DD55B0">
      <w:pPr>
        <w:spacing w:after="0" w:line="240" w:lineRule="auto"/>
      </w:pPr>
      <w:r>
        <w:separator/>
      </w:r>
    </w:p>
  </w:footnote>
  <w:footnote w:type="continuationSeparator" w:id="0">
    <w:p w:rsidR="00090110" w:rsidRDefault="00090110" w:rsidP="00DD55B0">
      <w:pPr>
        <w:spacing w:after="0" w:line="240" w:lineRule="auto"/>
      </w:pPr>
      <w:r>
        <w:continuationSeparator/>
      </w:r>
    </w:p>
  </w:footnote>
  <w:footnote w:id="1">
    <w:p w:rsidR="00090110" w:rsidRDefault="00090110">
      <w:pPr>
        <w:pStyle w:val="FootnoteText"/>
      </w:pPr>
      <w:r>
        <w:rPr>
          <w:rStyle w:val="FootnoteReference"/>
        </w:rPr>
        <w:footnoteRef/>
      </w:r>
      <w:r>
        <w:t xml:space="preserve"> </w:t>
      </w:r>
      <w:hyperlink r:id="rId1" w:history="1">
        <w:r w:rsidRPr="00C70A07">
          <w:rPr>
            <w:rStyle w:val="Hyperlink"/>
          </w:rPr>
          <w:t>http://www.ut.ee/et/uudised/rake-uuring-selgitab-palju-maksab-lapse-uleskasvatamine</w:t>
        </w:r>
      </w:hyperlink>
    </w:p>
  </w:footnote>
  <w:footnote w:id="2">
    <w:p w:rsidR="00090110" w:rsidRDefault="00090110">
      <w:pPr>
        <w:pStyle w:val="FootnoteText"/>
      </w:pPr>
      <w:r>
        <w:rPr>
          <w:rStyle w:val="FootnoteReference"/>
        </w:rPr>
        <w:footnoteRef/>
      </w:r>
      <w:r>
        <w:t xml:space="preserve"> </w:t>
      </w:r>
      <w:hyperlink r:id="rId2" w:history="1">
        <w:r w:rsidRPr="00C70A07">
          <w:rPr>
            <w:rStyle w:val="Hyperlink"/>
          </w:rPr>
          <w:t>https://riigikantselei.ee/sites/default/files/content-editors/TOF/TOF_noorteadlased/kristi_anniste_eestlaste_valjaranne_soome_uuringu_kokkuvote.pdf</w:t>
        </w:r>
      </w:hyperlink>
    </w:p>
    <w:p w:rsidR="00090110" w:rsidRDefault="00090110">
      <w:pPr>
        <w:pStyle w:val="FootnoteText"/>
      </w:pPr>
    </w:p>
  </w:footnote>
  <w:footnote w:id="3">
    <w:p w:rsidR="00090110" w:rsidRDefault="00090110">
      <w:pPr>
        <w:pStyle w:val="FootnoteText"/>
      </w:pPr>
      <w:r>
        <w:rPr>
          <w:rStyle w:val="FootnoteReference"/>
        </w:rPr>
        <w:footnoteRef/>
      </w:r>
      <w:r>
        <w:t xml:space="preserve"> </w:t>
      </w:r>
      <w:hyperlink r:id="rId3" w:history="1">
        <w:r w:rsidRPr="00C70A07">
          <w:rPr>
            <w:rStyle w:val="Hyperlink"/>
          </w:rPr>
          <w:t>http://www.oecd.org/social/Focus-on-Minimum-Wages-after-the-crisis-2015.pdf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D17E3"/>
    <w:multiLevelType w:val="multilevel"/>
    <w:tmpl w:val="26620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F355E"/>
    <w:rsid w:val="00013E9D"/>
    <w:rsid w:val="00023252"/>
    <w:rsid w:val="00024009"/>
    <w:rsid w:val="00030F27"/>
    <w:rsid w:val="00032135"/>
    <w:rsid w:val="000444DB"/>
    <w:rsid w:val="00076C9C"/>
    <w:rsid w:val="00090110"/>
    <w:rsid w:val="000A622C"/>
    <w:rsid w:val="000B3E6D"/>
    <w:rsid w:val="000D2BCE"/>
    <w:rsid w:val="0012163B"/>
    <w:rsid w:val="00126583"/>
    <w:rsid w:val="001564CB"/>
    <w:rsid w:val="0017577B"/>
    <w:rsid w:val="001A027E"/>
    <w:rsid w:val="001A7D1B"/>
    <w:rsid w:val="001B3927"/>
    <w:rsid w:val="001E0767"/>
    <w:rsid w:val="001F726E"/>
    <w:rsid w:val="00205458"/>
    <w:rsid w:val="00221B7D"/>
    <w:rsid w:val="0029622C"/>
    <w:rsid w:val="002C1AB7"/>
    <w:rsid w:val="002D471E"/>
    <w:rsid w:val="002D6864"/>
    <w:rsid w:val="002E6C1B"/>
    <w:rsid w:val="002F3FD9"/>
    <w:rsid w:val="003076CA"/>
    <w:rsid w:val="0032287A"/>
    <w:rsid w:val="00351E16"/>
    <w:rsid w:val="00353D2F"/>
    <w:rsid w:val="0035783F"/>
    <w:rsid w:val="003C1F17"/>
    <w:rsid w:val="003D0A2D"/>
    <w:rsid w:val="003D53D2"/>
    <w:rsid w:val="00414884"/>
    <w:rsid w:val="00415184"/>
    <w:rsid w:val="0043273A"/>
    <w:rsid w:val="00435AE9"/>
    <w:rsid w:val="00453872"/>
    <w:rsid w:val="004834BB"/>
    <w:rsid w:val="004A34D6"/>
    <w:rsid w:val="004D27DE"/>
    <w:rsid w:val="004D69C9"/>
    <w:rsid w:val="00513FB2"/>
    <w:rsid w:val="0052176F"/>
    <w:rsid w:val="005234AA"/>
    <w:rsid w:val="0056723D"/>
    <w:rsid w:val="0058545C"/>
    <w:rsid w:val="005C1632"/>
    <w:rsid w:val="005C1F85"/>
    <w:rsid w:val="005E388F"/>
    <w:rsid w:val="0064036F"/>
    <w:rsid w:val="00651729"/>
    <w:rsid w:val="00652717"/>
    <w:rsid w:val="00686ABE"/>
    <w:rsid w:val="00690B8D"/>
    <w:rsid w:val="00697258"/>
    <w:rsid w:val="006A375C"/>
    <w:rsid w:val="006B30F0"/>
    <w:rsid w:val="006C5021"/>
    <w:rsid w:val="006D040B"/>
    <w:rsid w:val="006E4708"/>
    <w:rsid w:val="006E7213"/>
    <w:rsid w:val="006F5565"/>
    <w:rsid w:val="006F6D19"/>
    <w:rsid w:val="00730F72"/>
    <w:rsid w:val="007606A5"/>
    <w:rsid w:val="00767C8C"/>
    <w:rsid w:val="00777588"/>
    <w:rsid w:val="00784043"/>
    <w:rsid w:val="0078642D"/>
    <w:rsid w:val="00794BD2"/>
    <w:rsid w:val="00797086"/>
    <w:rsid w:val="007B55D0"/>
    <w:rsid w:val="00814E0B"/>
    <w:rsid w:val="008169E7"/>
    <w:rsid w:val="00830606"/>
    <w:rsid w:val="008370C0"/>
    <w:rsid w:val="00843F00"/>
    <w:rsid w:val="008535D8"/>
    <w:rsid w:val="008671F1"/>
    <w:rsid w:val="008B4F05"/>
    <w:rsid w:val="008B5694"/>
    <w:rsid w:val="008E172A"/>
    <w:rsid w:val="00921025"/>
    <w:rsid w:val="009666FB"/>
    <w:rsid w:val="00970835"/>
    <w:rsid w:val="00971695"/>
    <w:rsid w:val="009869CB"/>
    <w:rsid w:val="009D2155"/>
    <w:rsid w:val="009F76B1"/>
    <w:rsid w:val="00A265F2"/>
    <w:rsid w:val="00A63897"/>
    <w:rsid w:val="00A70035"/>
    <w:rsid w:val="00A83027"/>
    <w:rsid w:val="00AB6095"/>
    <w:rsid w:val="00AB62B1"/>
    <w:rsid w:val="00AE6E52"/>
    <w:rsid w:val="00B2290A"/>
    <w:rsid w:val="00B83C64"/>
    <w:rsid w:val="00B906F0"/>
    <w:rsid w:val="00B950EE"/>
    <w:rsid w:val="00B965EE"/>
    <w:rsid w:val="00BC3CE0"/>
    <w:rsid w:val="00BD4BA4"/>
    <w:rsid w:val="00BE4F7D"/>
    <w:rsid w:val="00BE5F3B"/>
    <w:rsid w:val="00BF355E"/>
    <w:rsid w:val="00C33048"/>
    <w:rsid w:val="00C35566"/>
    <w:rsid w:val="00C53855"/>
    <w:rsid w:val="00C6450B"/>
    <w:rsid w:val="00C93100"/>
    <w:rsid w:val="00C95F1C"/>
    <w:rsid w:val="00CA5A31"/>
    <w:rsid w:val="00CC3E0B"/>
    <w:rsid w:val="00CD7193"/>
    <w:rsid w:val="00CE653D"/>
    <w:rsid w:val="00D14E45"/>
    <w:rsid w:val="00D550AB"/>
    <w:rsid w:val="00D70FA0"/>
    <w:rsid w:val="00D71D35"/>
    <w:rsid w:val="00DC7C82"/>
    <w:rsid w:val="00DD55B0"/>
    <w:rsid w:val="00DE5881"/>
    <w:rsid w:val="00E30612"/>
    <w:rsid w:val="00E66B6B"/>
    <w:rsid w:val="00E77C66"/>
    <w:rsid w:val="00E86EDE"/>
    <w:rsid w:val="00E95091"/>
    <w:rsid w:val="00EB4125"/>
    <w:rsid w:val="00ED3CBF"/>
    <w:rsid w:val="00F010F6"/>
    <w:rsid w:val="00F15F56"/>
    <w:rsid w:val="00F22DF1"/>
    <w:rsid w:val="00F27866"/>
    <w:rsid w:val="00FA5FCB"/>
    <w:rsid w:val="00FA7D24"/>
    <w:rsid w:val="00FB7C77"/>
    <w:rsid w:val="00FC62E8"/>
    <w:rsid w:val="00FE3629"/>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8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45C"/>
    <w:pPr>
      <w:ind w:left="720"/>
      <w:contextualSpacing/>
    </w:pPr>
  </w:style>
  <w:style w:type="paragraph" w:styleId="BalloonText">
    <w:name w:val="Balloon Text"/>
    <w:basedOn w:val="Normal"/>
    <w:link w:val="BalloonTextChar"/>
    <w:uiPriority w:val="99"/>
    <w:semiHidden/>
    <w:unhideWhenUsed/>
    <w:rsid w:val="002E6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C1B"/>
    <w:rPr>
      <w:rFonts w:ascii="Tahoma" w:hAnsi="Tahoma" w:cs="Tahoma"/>
      <w:sz w:val="16"/>
      <w:szCs w:val="16"/>
    </w:rPr>
  </w:style>
  <w:style w:type="paragraph" w:styleId="Header">
    <w:name w:val="header"/>
    <w:basedOn w:val="Normal"/>
    <w:link w:val="HeaderChar"/>
    <w:uiPriority w:val="99"/>
    <w:unhideWhenUsed/>
    <w:rsid w:val="00DD55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55B0"/>
  </w:style>
  <w:style w:type="paragraph" w:styleId="Footer">
    <w:name w:val="footer"/>
    <w:basedOn w:val="Normal"/>
    <w:link w:val="FooterChar"/>
    <w:uiPriority w:val="99"/>
    <w:semiHidden/>
    <w:unhideWhenUsed/>
    <w:rsid w:val="00DD55B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D55B0"/>
  </w:style>
  <w:style w:type="paragraph" w:styleId="FootnoteText">
    <w:name w:val="footnote text"/>
    <w:basedOn w:val="Normal"/>
    <w:link w:val="FootnoteTextChar"/>
    <w:uiPriority w:val="99"/>
    <w:semiHidden/>
    <w:unhideWhenUsed/>
    <w:rsid w:val="00C95F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F1C"/>
    <w:rPr>
      <w:sz w:val="20"/>
      <w:szCs w:val="20"/>
    </w:rPr>
  </w:style>
  <w:style w:type="character" w:styleId="FootnoteReference">
    <w:name w:val="footnote reference"/>
    <w:basedOn w:val="DefaultParagraphFont"/>
    <w:uiPriority w:val="99"/>
    <w:semiHidden/>
    <w:unhideWhenUsed/>
    <w:rsid w:val="00C95F1C"/>
    <w:rPr>
      <w:vertAlign w:val="superscript"/>
    </w:rPr>
  </w:style>
  <w:style w:type="character" w:styleId="Hyperlink">
    <w:name w:val="Hyperlink"/>
    <w:basedOn w:val="DefaultParagraphFont"/>
    <w:uiPriority w:val="99"/>
    <w:unhideWhenUsed/>
    <w:rsid w:val="00C95F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67663">
      <w:bodyDiv w:val="1"/>
      <w:marLeft w:val="0"/>
      <w:marRight w:val="0"/>
      <w:marTop w:val="0"/>
      <w:marBottom w:val="0"/>
      <w:divBdr>
        <w:top w:val="none" w:sz="0" w:space="0" w:color="auto"/>
        <w:left w:val="none" w:sz="0" w:space="0" w:color="auto"/>
        <w:bottom w:val="none" w:sz="0" w:space="0" w:color="auto"/>
        <w:right w:val="none" w:sz="0" w:space="0" w:color="auto"/>
      </w:divBdr>
    </w:div>
    <w:div w:id="854348548">
      <w:bodyDiv w:val="1"/>
      <w:marLeft w:val="0"/>
      <w:marRight w:val="0"/>
      <w:marTop w:val="0"/>
      <w:marBottom w:val="0"/>
      <w:divBdr>
        <w:top w:val="none" w:sz="0" w:space="0" w:color="auto"/>
        <w:left w:val="none" w:sz="0" w:space="0" w:color="auto"/>
        <w:bottom w:val="none" w:sz="0" w:space="0" w:color="auto"/>
        <w:right w:val="none" w:sz="0" w:space="0" w:color="auto"/>
      </w:divBdr>
    </w:div>
    <w:div w:id="20425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www.oecd.org/social/Focus-on-Minimum-Wages-after-the-crisis-2015.pdf" TargetMode="External"/><Relationship Id="rId2" Type="http://schemas.openxmlformats.org/officeDocument/2006/relationships/hyperlink" Target="https://riigikantselei.ee/sites/default/files/content-editors/TOF/TOF_noorteadlased/kristi_anniste_eestlaste_valjaranne_soome_uuringu_kokkuvote.pdf" TargetMode="External"/><Relationship Id="rId1" Type="http://schemas.openxmlformats.org/officeDocument/2006/relationships/hyperlink" Target="http://www.ut.ee/et/uudised/rake-uuring-selgitab-palju-maksab-lapse-uleskasvatamin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ailid\RMIN\Kasutajad\Madis.Aben\personal\T&#246;&#246;turg\Miinimumpalk.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lang val="et-EE"/>
  <c:chart>
    <c:plotArea>
      <c:layout>
        <c:manualLayout>
          <c:layoutTarget val="inner"/>
          <c:xMode val="edge"/>
          <c:yMode val="edge"/>
          <c:x val="0.15293162194388138"/>
          <c:y val="3.2376747608535747E-2"/>
          <c:w val="0.81680587394930149"/>
          <c:h val="0.89388770112345239"/>
        </c:manualLayout>
      </c:layout>
      <c:barChart>
        <c:barDir val="bar"/>
        <c:grouping val="clustered"/>
        <c:ser>
          <c:idx val="0"/>
          <c:order val="0"/>
          <c:tx>
            <c:strRef>
              <c:f>'min w'!$T$27</c:f>
              <c:strCache>
                <c:ptCount val="1"/>
                <c:pt idx="0">
                  <c:v>Nominaalpalk</c:v>
                </c:pt>
              </c:strCache>
            </c:strRef>
          </c:tx>
          <c:cat>
            <c:strRef>
              <c:f>'min w'!$S$28:$S$49</c:f>
              <c:strCache>
                <c:ptCount val="22"/>
                <c:pt idx="0">
                  <c:v>Bulgaria</c:v>
                </c:pt>
                <c:pt idx="1">
                  <c:v>Romania</c:v>
                </c:pt>
                <c:pt idx="2">
                  <c:v>Lithuania</c:v>
                </c:pt>
                <c:pt idx="3">
                  <c:v>Czech Republic</c:v>
                </c:pt>
                <c:pt idx="4">
                  <c:v>Estonia</c:v>
                </c:pt>
                <c:pt idx="5">
                  <c:v>Latvia</c:v>
                </c:pt>
                <c:pt idx="6">
                  <c:v>Slovakia</c:v>
                </c:pt>
                <c:pt idx="7">
                  <c:v>Hungary</c:v>
                </c:pt>
                <c:pt idx="8">
                  <c:v>Croatia</c:v>
                </c:pt>
                <c:pt idx="9">
                  <c:v>Portugal</c:v>
                </c:pt>
                <c:pt idx="10">
                  <c:v>Poland</c:v>
                </c:pt>
                <c:pt idx="11">
                  <c:v>Greece</c:v>
                </c:pt>
                <c:pt idx="12">
                  <c:v>Spain</c:v>
                </c:pt>
                <c:pt idx="13">
                  <c:v>Malta</c:v>
                </c:pt>
                <c:pt idx="14">
                  <c:v>Slovenia</c:v>
                </c:pt>
                <c:pt idx="15">
                  <c:v>United Kingdom</c:v>
                </c:pt>
                <c:pt idx="16">
                  <c:v>Ireland</c:v>
                </c:pt>
                <c:pt idx="17">
                  <c:v>France</c:v>
                </c:pt>
                <c:pt idx="18">
                  <c:v>Netherlands</c:v>
                </c:pt>
                <c:pt idx="19">
                  <c:v>Belgium</c:v>
                </c:pt>
                <c:pt idx="20">
                  <c:v>Germany</c:v>
                </c:pt>
                <c:pt idx="21">
                  <c:v>Luxembourg</c:v>
                </c:pt>
              </c:strCache>
            </c:strRef>
          </c:cat>
          <c:val>
            <c:numRef>
              <c:f>'min w'!$T$28:$T$49</c:f>
              <c:numCache>
                <c:formatCode>0</c:formatCode>
                <c:ptCount val="22"/>
                <c:pt idx="0">
                  <c:v>184.07</c:v>
                </c:pt>
                <c:pt idx="1">
                  <c:v>217.5</c:v>
                </c:pt>
                <c:pt idx="2">
                  <c:v>300</c:v>
                </c:pt>
                <c:pt idx="3">
                  <c:v>331.71</c:v>
                </c:pt>
                <c:pt idx="4">
                  <c:v>390</c:v>
                </c:pt>
                <c:pt idx="5">
                  <c:v>360</c:v>
                </c:pt>
                <c:pt idx="6">
                  <c:v>380</c:v>
                </c:pt>
                <c:pt idx="7">
                  <c:v>332.76</c:v>
                </c:pt>
                <c:pt idx="8">
                  <c:v>395.61</c:v>
                </c:pt>
                <c:pt idx="9">
                  <c:v>589.16999999999996</c:v>
                </c:pt>
                <c:pt idx="10">
                  <c:v>409.53</c:v>
                </c:pt>
                <c:pt idx="11">
                  <c:v>683.76</c:v>
                </c:pt>
                <c:pt idx="12">
                  <c:v>756.7</c:v>
                </c:pt>
                <c:pt idx="13">
                  <c:v>720.45999999999992</c:v>
                </c:pt>
                <c:pt idx="14">
                  <c:v>790.73</c:v>
                </c:pt>
                <c:pt idx="15">
                  <c:v>1378.87</c:v>
                </c:pt>
                <c:pt idx="16">
                  <c:v>1461.85</c:v>
                </c:pt>
                <c:pt idx="17">
                  <c:v>1457.52</c:v>
                </c:pt>
                <c:pt idx="18">
                  <c:v>1501.8</c:v>
                </c:pt>
                <c:pt idx="19">
                  <c:v>1501.82</c:v>
                </c:pt>
                <c:pt idx="20">
                  <c:v>1473</c:v>
                </c:pt>
                <c:pt idx="21">
                  <c:v>1922.96</c:v>
                </c:pt>
              </c:numCache>
            </c:numRef>
          </c:val>
        </c:ser>
        <c:ser>
          <c:idx val="1"/>
          <c:order val="1"/>
          <c:tx>
            <c:strRef>
              <c:f>'min w'!$U$27</c:f>
              <c:strCache>
                <c:ptCount val="1"/>
                <c:pt idx="0">
                  <c:v>Ostujõud</c:v>
                </c:pt>
              </c:strCache>
            </c:strRef>
          </c:tx>
          <c:cat>
            <c:strRef>
              <c:f>'min w'!$S$28:$S$49</c:f>
              <c:strCache>
                <c:ptCount val="22"/>
                <c:pt idx="0">
                  <c:v>Bulgaria</c:v>
                </c:pt>
                <c:pt idx="1">
                  <c:v>Romania</c:v>
                </c:pt>
                <c:pt idx="2">
                  <c:v>Lithuania</c:v>
                </c:pt>
                <c:pt idx="3">
                  <c:v>Czech Republic</c:v>
                </c:pt>
                <c:pt idx="4">
                  <c:v>Estonia</c:v>
                </c:pt>
                <c:pt idx="5">
                  <c:v>Latvia</c:v>
                </c:pt>
                <c:pt idx="6">
                  <c:v>Slovakia</c:v>
                </c:pt>
                <c:pt idx="7">
                  <c:v>Hungary</c:v>
                </c:pt>
                <c:pt idx="8">
                  <c:v>Croatia</c:v>
                </c:pt>
                <c:pt idx="9">
                  <c:v>Portugal</c:v>
                </c:pt>
                <c:pt idx="10">
                  <c:v>Poland</c:v>
                </c:pt>
                <c:pt idx="11">
                  <c:v>Greece</c:v>
                </c:pt>
                <c:pt idx="12">
                  <c:v>Spain</c:v>
                </c:pt>
                <c:pt idx="13">
                  <c:v>Malta</c:v>
                </c:pt>
                <c:pt idx="14">
                  <c:v>Slovenia</c:v>
                </c:pt>
                <c:pt idx="15">
                  <c:v>United Kingdom</c:v>
                </c:pt>
                <c:pt idx="16">
                  <c:v>Ireland</c:v>
                </c:pt>
                <c:pt idx="17">
                  <c:v>France</c:v>
                </c:pt>
                <c:pt idx="18">
                  <c:v>Netherlands</c:v>
                </c:pt>
                <c:pt idx="19">
                  <c:v>Belgium</c:v>
                </c:pt>
                <c:pt idx="20">
                  <c:v>Germany</c:v>
                </c:pt>
                <c:pt idx="21">
                  <c:v>Luxembourg</c:v>
                </c:pt>
              </c:strCache>
            </c:strRef>
          </c:cat>
          <c:val>
            <c:numRef>
              <c:f>'min w'!$U$28:$U$49</c:f>
              <c:numCache>
                <c:formatCode>0</c:formatCode>
                <c:ptCount val="22"/>
                <c:pt idx="0">
                  <c:v>375.65306122448982</c:v>
                </c:pt>
                <c:pt idx="1">
                  <c:v>402.77777777777766</c:v>
                </c:pt>
                <c:pt idx="2">
                  <c:v>472.44094488188966</c:v>
                </c:pt>
                <c:pt idx="3">
                  <c:v>482.83842794759806</c:v>
                </c:pt>
                <c:pt idx="4">
                  <c:v>499.35979513444312</c:v>
                </c:pt>
                <c:pt idx="5">
                  <c:v>505.6179775280898</c:v>
                </c:pt>
                <c:pt idx="6">
                  <c:v>547.55043227665726</c:v>
                </c:pt>
                <c:pt idx="7">
                  <c:v>557.38693467336691</c:v>
                </c:pt>
                <c:pt idx="8">
                  <c:v>586.08888888888885</c:v>
                </c:pt>
                <c:pt idx="9">
                  <c:v>724.68634686346843</c:v>
                </c:pt>
                <c:pt idx="10">
                  <c:v>733.92473118279554</c:v>
                </c:pt>
                <c:pt idx="11">
                  <c:v>766.54708520179361</c:v>
                </c:pt>
                <c:pt idx="12">
                  <c:v>809.30481283422455</c:v>
                </c:pt>
                <c:pt idx="13">
                  <c:v>873.28484848484857</c:v>
                </c:pt>
                <c:pt idx="14">
                  <c:v>951.54031287605301</c:v>
                </c:pt>
                <c:pt idx="15">
                  <c:v>1203.2024432809774</c:v>
                </c:pt>
                <c:pt idx="16">
                  <c:v>1218.208333333333</c:v>
                </c:pt>
                <c:pt idx="17">
                  <c:v>1327.4316939890712</c:v>
                </c:pt>
                <c:pt idx="18">
                  <c:v>1351.7551755175518</c:v>
                </c:pt>
                <c:pt idx="19">
                  <c:v>1355.4332129963898</c:v>
                </c:pt>
                <c:pt idx="20">
                  <c:v>1439.8826979472142</c:v>
                </c:pt>
                <c:pt idx="21">
                  <c:v>1583.9868204283362</c:v>
                </c:pt>
              </c:numCache>
            </c:numRef>
          </c:val>
        </c:ser>
        <c:axId val="83584128"/>
        <c:axId val="83585664"/>
      </c:barChart>
      <c:catAx>
        <c:axId val="83584128"/>
        <c:scaling>
          <c:orientation val="minMax"/>
        </c:scaling>
        <c:axPos val="l"/>
        <c:tickLblPos val="nextTo"/>
        <c:crossAx val="83585664"/>
        <c:crosses val="autoZero"/>
        <c:auto val="1"/>
        <c:lblAlgn val="ctr"/>
        <c:lblOffset val="100"/>
      </c:catAx>
      <c:valAx>
        <c:axId val="83585664"/>
        <c:scaling>
          <c:orientation val="minMax"/>
          <c:max val="2000"/>
        </c:scaling>
        <c:axPos val="b"/>
        <c:majorGridlines/>
        <c:numFmt formatCode="0" sourceLinked="1"/>
        <c:tickLblPos val="nextTo"/>
        <c:crossAx val="83584128"/>
        <c:crosses val="autoZero"/>
        <c:crossBetween val="between"/>
      </c:valAx>
    </c:plotArea>
    <c:legend>
      <c:legendPos val="r"/>
      <c:layout>
        <c:manualLayout>
          <c:xMode val="edge"/>
          <c:yMode val="edge"/>
          <c:x val="0.73441340665750154"/>
          <c:y val="0.76538387055343571"/>
          <c:w val="0.21628858892638431"/>
          <c:h val="0.1426114174824307"/>
        </c:manualLayout>
      </c:layout>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t-EE"/>
  <c:chart>
    <c:plotArea>
      <c:layout>
        <c:manualLayout>
          <c:layoutTarget val="inner"/>
          <c:xMode val="edge"/>
          <c:yMode val="edge"/>
          <c:x val="7.1726450860309196E-2"/>
          <c:y val="4.4057617797775367E-2"/>
          <c:w val="0.90519484543598761"/>
          <c:h val="0.83689008005579935"/>
        </c:manualLayout>
      </c:layout>
      <c:lineChart>
        <c:grouping val="standard"/>
        <c:ser>
          <c:idx val="0"/>
          <c:order val="0"/>
          <c:tx>
            <c:strRef>
              <c:f>Sheet1!$B$1</c:f>
              <c:strCache>
                <c:ptCount val="1"/>
                <c:pt idx="0">
                  <c:v>Tarbijahinnaindeks</c:v>
                </c:pt>
              </c:strCache>
            </c:strRef>
          </c:tx>
          <c:spPr>
            <a:ln w="38100">
              <a:prstDash val="dash"/>
            </a:ln>
          </c:spPr>
          <c:marker>
            <c:symbol val="none"/>
          </c:marker>
          <c:cat>
            <c:strRef>
              <c:f>Sheet1!$A$2:$A$13</c:f>
              <c:strCach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strCache>
            </c:strRef>
          </c:cat>
          <c:val>
            <c:numRef>
              <c:f>Sheet1!$B$2:$B$13</c:f>
              <c:numCache>
                <c:formatCode>0</c:formatCode>
                <c:ptCount val="12"/>
                <c:pt idx="0">
                  <c:v>100</c:v>
                </c:pt>
                <c:pt idx="1">
                  <c:v>104.1</c:v>
                </c:pt>
                <c:pt idx="2">
                  <c:v>108.68039999999998</c:v>
                </c:pt>
                <c:pt idx="3">
                  <c:v>115.85330639999987</c:v>
                </c:pt>
                <c:pt idx="4">
                  <c:v>127.90205026560002</c:v>
                </c:pt>
                <c:pt idx="5">
                  <c:v>127.77414821533438</c:v>
                </c:pt>
                <c:pt idx="6">
                  <c:v>131.60737266179439</c:v>
                </c:pt>
                <c:pt idx="7">
                  <c:v>138.18774129488415</c:v>
                </c:pt>
                <c:pt idx="8">
                  <c:v>143.57706320538458</c:v>
                </c:pt>
                <c:pt idx="9">
                  <c:v>147.59722097513557</c:v>
                </c:pt>
                <c:pt idx="10">
                  <c:v>147.44962375415992</c:v>
                </c:pt>
                <c:pt idx="11">
                  <c:v>147.74452300166823</c:v>
                </c:pt>
              </c:numCache>
            </c:numRef>
          </c:val>
        </c:ser>
        <c:ser>
          <c:idx val="1"/>
          <c:order val="1"/>
          <c:tx>
            <c:strRef>
              <c:f>Sheet1!$C$1</c:f>
              <c:strCache>
                <c:ptCount val="1"/>
                <c:pt idx="0">
                  <c:v>Eluasemehinnaindeks</c:v>
                </c:pt>
              </c:strCache>
            </c:strRef>
          </c:tx>
          <c:spPr>
            <a:ln w="38100">
              <a:solidFill>
                <a:schemeClr val="accent4"/>
              </a:solidFill>
              <a:prstDash val="sysDash"/>
            </a:ln>
          </c:spPr>
          <c:marker>
            <c:symbol val="none"/>
          </c:marker>
          <c:cat>
            <c:strRef>
              <c:f>Sheet1!$A$2:$A$13</c:f>
              <c:strCach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strCache>
            </c:strRef>
          </c:cat>
          <c:val>
            <c:numRef>
              <c:f>Sheet1!$C$2:$C$13</c:f>
              <c:numCache>
                <c:formatCode>General</c:formatCode>
                <c:ptCount val="12"/>
                <c:pt idx="0">
                  <c:v>100</c:v>
                </c:pt>
                <c:pt idx="1">
                  <c:v>107</c:v>
                </c:pt>
                <c:pt idx="2">
                  <c:v>118.12799999999999</c:v>
                </c:pt>
                <c:pt idx="3">
                  <c:v>135.37468799999999</c:v>
                </c:pt>
                <c:pt idx="4">
                  <c:v>156.76388870399998</c:v>
                </c:pt>
                <c:pt idx="5">
                  <c:v>158.33152759103999</c:v>
                </c:pt>
                <c:pt idx="6">
                  <c:v>162.92314189118014</c:v>
                </c:pt>
                <c:pt idx="7">
                  <c:v>172.53560726275975</c:v>
                </c:pt>
                <c:pt idx="8">
                  <c:v>188.06381191640813</c:v>
                </c:pt>
                <c:pt idx="9">
                  <c:v>204.61342736505205</c:v>
                </c:pt>
                <c:pt idx="10">
                  <c:v>201.74883938194131</c:v>
                </c:pt>
                <c:pt idx="11">
                  <c:v>201.44621612286838</c:v>
                </c:pt>
              </c:numCache>
            </c:numRef>
          </c:val>
        </c:ser>
        <c:ser>
          <c:idx val="2"/>
          <c:order val="2"/>
          <c:tx>
            <c:strRef>
              <c:f>Sheet1!$D$1</c:f>
              <c:strCache>
                <c:ptCount val="1"/>
                <c:pt idx="0">
                  <c:v>Keskmine palk</c:v>
                </c:pt>
              </c:strCache>
            </c:strRef>
          </c:tx>
          <c:spPr>
            <a:ln w="31750"/>
          </c:spPr>
          <c:marker>
            <c:symbol val="circle"/>
            <c:size val="5"/>
          </c:marker>
          <c:cat>
            <c:strRef>
              <c:f>Sheet1!$A$2:$A$13</c:f>
              <c:strCach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strCache>
            </c:strRef>
          </c:cat>
          <c:val>
            <c:numRef>
              <c:f>Sheet1!$D$2:$D$13</c:f>
              <c:numCache>
                <c:formatCode>General</c:formatCode>
                <c:ptCount val="12"/>
                <c:pt idx="0">
                  <c:v>100</c:v>
                </c:pt>
                <c:pt idx="1">
                  <c:v>110.78633280324841</c:v>
                </c:pt>
                <c:pt idx="2">
                  <c:v>129.09290644947851</c:v>
                </c:pt>
                <c:pt idx="3">
                  <c:v>155.56470570198837</c:v>
                </c:pt>
                <c:pt idx="4">
                  <c:v>177.19226216684709</c:v>
                </c:pt>
                <c:pt idx="5">
                  <c:v>168.29971336253138</c:v>
                </c:pt>
                <c:pt idx="6">
                  <c:v>170.1248816413181</c:v>
                </c:pt>
                <c:pt idx="7">
                  <c:v>180.14954688416643</c:v>
                </c:pt>
                <c:pt idx="8">
                  <c:v>188.85802751319505</c:v>
                </c:pt>
                <c:pt idx="9">
                  <c:v>203.60656386790998</c:v>
                </c:pt>
                <c:pt idx="10">
                  <c:v>214.96629185111254</c:v>
                </c:pt>
                <c:pt idx="11">
                  <c:v>225.71460644366815</c:v>
                </c:pt>
              </c:numCache>
            </c:numRef>
          </c:val>
        </c:ser>
        <c:ser>
          <c:idx val="3"/>
          <c:order val="3"/>
          <c:tx>
            <c:strRef>
              <c:f>Sheet1!$E$1</c:f>
              <c:strCache>
                <c:ptCount val="1"/>
                <c:pt idx="0">
                  <c:v>Miinimumpalk</c:v>
                </c:pt>
              </c:strCache>
            </c:strRef>
          </c:tx>
          <c:spPr>
            <a:ln w="38100">
              <a:solidFill>
                <a:schemeClr val="accent6"/>
              </a:solidFill>
              <a:prstDash val="solid"/>
            </a:ln>
          </c:spPr>
          <c:marker>
            <c:symbol val="none"/>
          </c:marker>
          <c:cat>
            <c:strRef>
              <c:f>Sheet1!$A$2:$A$13</c:f>
              <c:strCach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strCache>
            </c:strRef>
          </c:cat>
          <c:val>
            <c:numRef>
              <c:f>Sheet1!$E$2:$E$13</c:f>
              <c:numCache>
                <c:formatCode>General</c:formatCode>
                <c:ptCount val="12"/>
                <c:pt idx="0">
                  <c:v>100</c:v>
                </c:pt>
                <c:pt idx="1">
                  <c:v>108.46687697160881</c:v>
                </c:pt>
                <c:pt idx="2">
                  <c:v>120.96529968454273</c:v>
                </c:pt>
                <c:pt idx="3">
                  <c:v>145.16088328075691</c:v>
                </c:pt>
                <c:pt idx="4">
                  <c:v>175.40694006309144</c:v>
                </c:pt>
                <c:pt idx="5">
                  <c:v>175.40694006309144</c:v>
                </c:pt>
                <c:pt idx="6">
                  <c:v>175.40694006309144</c:v>
                </c:pt>
                <c:pt idx="7">
                  <c:v>175.40694006309144</c:v>
                </c:pt>
                <c:pt idx="8">
                  <c:v>182.96529968454252</c:v>
                </c:pt>
                <c:pt idx="9">
                  <c:v>201.89274447949543</c:v>
                </c:pt>
                <c:pt idx="10">
                  <c:v>223.97476340693999</c:v>
                </c:pt>
                <c:pt idx="11">
                  <c:v>246.05678233438479</c:v>
                </c:pt>
              </c:numCache>
            </c:numRef>
          </c:val>
        </c:ser>
        <c:marker val="1"/>
        <c:axId val="83656064"/>
        <c:axId val="83666048"/>
      </c:lineChart>
      <c:catAx>
        <c:axId val="83656064"/>
        <c:scaling>
          <c:orientation val="minMax"/>
        </c:scaling>
        <c:axPos val="b"/>
        <c:tickLblPos val="nextTo"/>
        <c:crossAx val="83666048"/>
        <c:crosses val="autoZero"/>
        <c:auto val="1"/>
        <c:lblAlgn val="ctr"/>
        <c:lblOffset val="100"/>
      </c:catAx>
      <c:valAx>
        <c:axId val="83666048"/>
        <c:scaling>
          <c:orientation val="minMax"/>
          <c:min val="100"/>
        </c:scaling>
        <c:axPos val="l"/>
        <c:majorGridlines/>
        <c:numFmt formatCode="0" sourceLinked="1"/>
        <c:tickLblPos val="nextTo"/>
        <c:crossAx val="83656064"/>
        <c:crosses val="autoZero"/>
        <c:crossBetween val="between"/>
      </c:valAx>
    </c:plotArea>
    <c:legend>
      <c:legendPos val="r"/>
      <c:layout>
        <c:manualLayout>
          <c:xMode val="edge"/>
          <c:yMode val="edge"/>
          <c:x val="8.3176703357907847E-2"/>
          <c:y val="6.7290405444382084E-2"/>
          <c:w val="0.2946231074673073"/>
          <c:h val="0.37911277734149706"/>
        </c:manualLayout>
      </c:layout>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B40B1-E560-4726-9968-C28F6C60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8</Pages>
  <Words>2011</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13650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51</cp:revision>
  <cp:lastPrinted>2015-05-21T06:02:00Z</cp:lastPrinted>
  <dcterms:created xsi:type="dcterms:W3CDTF">2015-05-20T12:23:00Z</dcterms:created>
  <dcterms:modified xsi:type="dcterms:W3CDTF">2015-05-21T14:23:00Z</dcterms:modified>
</cp:coreProperties>
</file>