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57" w:type="dxa"/>
          <w:right w:w="57" w:type="dxa"/>
        </w:tblCellMar>
        <w:tblLook w:val="0000" w:firstRow="0" w:lastRow="0" w:firstColumn="0" w:lastColumn="0" w:noHBand="0" w:noVBand="0"/>
      </w:tblPr>
      <w:tblGrid>
        <w:gridCol w:w="4785"/>
        <w:gridCol w:w="4785"/>
      </w:tblGrid>
      <w:tr w:rsidR="001F7066" w:rsidTr="005D1B8C">
        <w:tc>
          <w:tcPr>
            <w:tcW w:w="4785" w:type="dxa"/>
          </w:tcPr>
          <w:p w:rsidR="001F7066" w:rsidRDefault="001D1F18" w:rsidP="005D1B8C">
            <w:pPr>
              <w:pStyle w:val="Teksthelreal"/>
              <w:rPr>
                <w:noProof/>
              </w:rPr>
            </w:pPr>
            <w:r>
              <w:rPr>
                <w:noProof/>
              </w:rPr>
              <w:t>Riigikogu Sotsiaaalkomisjon</w:t>
            </w:r>
          </w:p>
          <w:p w:rsidR="001D1F18" w:rsidRDefault="001D1F18" w:rsidP="005D1B8C">
            <w:pPr>
              <w:pStyle w:val="Teksthelreal"/>
            </w:pPr>
            <w:r>
              <w:t>Riigikogu Rahanduskomisjon</w:t>
            </w:r>
          </w:p>
        </w:tc>
        <w:tc>
          <w:tcPr>
            <w:tcW w:w="4785" w:type="dxa"/>
          </w:tcPr>
          <w:p w:rsidR="001F7066" w:rsidRDefault="00FC435F" w:rsidP="005D1B8C">
            <w:pPr>
              <w:pStyle w:val="Kuupevjaviide"/>
            </w:pPr>
            <w:r>
              <w:t>15.01.2018</w:t>
            </w:r>
            <w:r w:rsidR="001F7066">
              <w:t xml:space="preserve"> nr </w:t>
            </w:r>
            <w:r>
              <w:t>433</w:t>
            </w:r>
          </w:p>
        </w:tc>
      </w:tr>
    </w:tbl>
    <w:p w:rsidR="001F7066" w:rsidRDefault="001F7066" w:rsidP="001F7066">
      <w:pPr>
        <w:pStyle w:val="Teksthelreal"/>
      </w:pPr>
    </w:p>
    <w:p w:rsidR="001F7066" w:rsidRDefault="001F7066" w:rsidP="001F7066">
      <w:pPr>
        <w:pStyle w:val="Teksthelreal"/>
      </w:pPr>
    </w:p>
    <w:p w:rsidR="001F7066" w:rsidRDefault="001F7066" w:rsidP="001F7066">
      <w:pPr>
        <w:pStyle w:val="Teksthelreal"/>
      </w:pPr>
    </w:p>
    <w:p w:rsidR="001F7066" w:rsidRDefault="001F7066" w:rsidP="001F7066">
      <w:pPr>
        <w:pStyle w:val="Teksthelreal"/>
      </w:pPr>
    </w:p>
    <w:p w:rsidR="001F7066" w:rsidRDefault="00A4520F" w:rsidP="001F7066">
      <w:pPr>
        <w:pStyle w:val="Pealkiriprdumine"/>
      </w:pPr>
      <w:r>
        <w:t>Tulundusühistu Tuleva ettepanekust</w:t>
      </w:r>
    </w:p>
    <w:p w:rsidR="001F7066" w:rsidRDefault="001F7066" w:rsidP="001F7066">
      <w:pPr>
        <w:pStyle w:val="Teksthelreal"/>
      </w:pPr>
    </w:p>
    <w:p w:rsidR="005B3EE9" w:rsidRPr="005B3EE9" w:rsidRDefault="005B3EE9" w:rsidP="005B3EE9">
      <w:pPr>
        <w:spacing w:after="160" w:line="259" w:lineRule="auto"/>
        <w:jc w:val="left"/>
        <w:rPr>
          <w:rFonts w:ascii="Calibri" w:eastAsia="Calibri" w:hAnsi="Calibri" w:cs="Times New Roman"/>
          <w:snapToGrid/>
          <w:sz w:val="22"/>
        </w:rPr>
      </w:pPr>
      <w:r w:rsidRPr="005B3EE9">
        <w:rPr>
          <w:rFonts w:ascii="Calibri" w:eastAsia="Calibri" w:hAnsi="Calibri" w:cs="Times New Roman"/>
          <w:snapToGrid/>
          <w:sz w:val="22"/>
        </w:rPr>
        <w:t xml:space="preserve">Esitame </w:t>
      </w:r>
      <w:proofErr w:type="spellStart"/>
      <w:r w:rsidRPr="005B3EE9">
        <w:rPr>
          <w:rFonts w:ascii="Calibri" w:eastAsia="Calibri" w:hAnsi="Calibri" w:cs="Times New Roman"/>
          <w:snapToGrid/>
          <w:sz w:val="22"/>
        </w:rPr>
        <w:t>EKSL-i</w:t>
      </w:r>
      <w:proofErr w:type="spellEnd"/>
      <w:r w:rsidRPr="005B3EE9">
        <w:rPr>
          <w:rFonts w:ascii="Calibri" w:eastAsia="Calibri" w:hAnsi="Calibri" w:cs="Times New Roman"/>
          <w:snapToGrid/>
          <w:sz w:val="22"/>
        </w:rPr>
        <w:t xml:space="preserve"> poolse hinnangu, mis lähtub peamiselt järgmistest põhimõtetest:</w:t>
      </w:r>
    </w:p>
    <w:p w:rsidR="005B3EE9" w:rsidRPr="005B3EE9" w:rsidRDefault="005B3EE9" w:rsidP="005B3EE9">
      <w:pPr>
        <w:numPr>
          <w:ilvl w:val="0"/>
          <w:numId w:val="46"/>
        </w:numPr>
        <w:spacing w:after="160" w:line="259" w:lineRule="auto"/>
        <w:contextualSpacing/>
        <w:jc w:val="left"/>
        <w:rPr>
          <w:rFonts w:ascii="Calibri" w:eastAsia="Calibri" w:hAnsi="Calibri" w:cs="Times New Roman"/>
          <w:snapToGrid/>
          <w:sz w:val="22"/>
        </w:rPr>
      </w:pPr>
      <w:r w:rsidRPr="005B3EE9">
        <w:rPr>
          <w:rFonts w:ascii="Calibri" w:eastAsia="Calibri" w:hAnsi="Calibri" w:cs="Times New Roman"/>
          <w:snapToGrid/>
          <w:sz w:val="22"/>
        </w:rPr>
        <w:t>Eesti pensionisüsteem on juba täna alafinantseeritud. St raha on vähe ja nii saab see suure tõenäosusega olema ka tulevikus. Piltlikult öeldes on iga euro arvel.</w:t>
      </w:r>
    </w:p>
    <w:p w:rsidR="005B3EE9" w:rsidRPr="005B3EE9" w:rsidRDefault="005B3EE9" w:rsidP="005B3EE9">
      <w:pPr>
        <w:numPr>
          <w:ilvl w:val="0"/>
          <w:numId w:val="46"/>
        </w:numPr>
        <w:spacing w:after="160" w:line="259" w:lineRule="auto"/>
        <w:contextualSpacing/>
        <w:jc w:val="left"/>
        <w:rPr>
          <w:rFonts w:ascii="Calibri" w:eastAsia="Calibri" w:hAnsi="Calibri" w:cs="Times New Roman"/>
          <w:snapToGrid/>
          <w:sz w:val="22"/>
        </w:rPr>
      </w:pPr>
      <w:r w:rsidRPr="005B3EE9">
        <w:rPr>
          <w:rFonts w:ascii="Calibri" w:eastAsia="Calibri" w:hAnsi="Calibri" w:cs="Times New Roman"/>
          <w:snapToGrid/>
          <w:sz w:val="22"/>
        </w:rPr>
        <w:t>Teise samba muudatusi tehes tuleb eelkõige silmas pidada sambale seatud eesmärki, milleks on igale pensionäridele eluaegse pensioni tagamine. Iga mitte eesmärgipärane paindlikus või kulu vähendab suuremal või väiksemal määral eluaegse pensioni väärtust.</w:t>
      </w:r>
    </w:p>
    <w:p w:rsidR="005B3EE9" w:rsidRPr="005B3EE9" w:rsidRDefault="005B3EE9" w:rsidP="005B3EE9">
      <w:pPr>
        <w:numPr>
          <w:ilvl w:val="0"/>
          <w:numId w:val="46"/>
        </w:numPr>
        <w:spacing w:after="160" w:line="259" w:lineRule="auto"/>
        <w:contextualSpacing/>
        <w:jc w:val="left"/>
        <w:rPr>
          <w:rFonts w:ascii="Calibri" w:eastAsia="Calibri" w:hAnsi="Calibri" w:cs="Times New Roman"/>
          <w:snapToGrid/>
          <w:sz w:val="22"/>
        </w:rPr>
      </w:pPr>
      <w:r w:rsidRPr="005B3EE9">
        <w:rPr>
          <w:rFonts w:ascii="Calibri" w:eastAsia="Calibri" w:hAnsi="Calibri" w:cs="Times New Roman"/>
          <w:snapToGrid/>
          <w:sz w:val="22"/>
        </w:rPr>
        <w:t>Pensionisüsteemi tervikuna, sh teist sammast, tulebki ja peabki kaasajastama, tegema muudatusi, mis parandavad inimeste sissetulekuid pensionieas ja tagavad jätkusuutliku pensioni iga pensionäri elu lõpuni. Tulenevalt kahest eelnevast seisukohast ei tohi süsteemi avada riskidele, mis võivad pigem vähendada pensioni ning sellega tekitada tulevikus täiendavaid sotsiaalseid, eelarvelisi ja maksude tõusu pingeid.</w:t>
      </w:r>
    </w:p>
    <w:p w:rsidR="005B3EE9" w:rsidRPr="005B3EE9" w:rsidRDefault="005B3EE9" w:rsidP="005B3EE9">
      <w:pPr>
        <w:spacing w:after="160" w:line="259" w:lineRule="auto"/>
        <w:jc w:val="left"/>
        <w:rPr>
          <w:rFonts w:ascii="Calibri" w:eastAsia="Calibri" w:hAnsi="Calibri" w:cs="Times New Roman"/>
          <w:snapToGrid/>
          <w:sz w:val="22"/>
        </w:rPr>
      </w:pPr>
      <w:r w:rsidRPr="005B3EE9">
        <w:rPr>
          <w:rFonts w:ascii="Calibri" w:eastAsia="Calibri" w:hAnsi="Calibri" w:cs="Times New Roman"/>
          <w:snapToGrid/>
          <w:sz w:val="22"/>
        </w:rPr>
        <w:t>Eesti kindlustussektor on läbi aja teinud rahandusministeeriumile teise samba muudatusettepanekuid, et teenus tervikuna vastaks paremini inimeste ootustele, aga oleme samas alati lähtunud printsiibist, kuidas maksimeerida elu lõpuni makstavaid pensione.</w:t>
      </w:r>
    </w:p>
    <w:p w:rsidR="005B3EE9" w:rsidRPr="005B3EE9" w:rsidRDefault="005B3EE9" w:rsidP="005B3EE9">
      <w:pPr>
        <w:spacing w:after="160" w:line="259" w:lineRule="auto"/>
        <w:jc w:val="left"/>
        <w:rPr>
          <w:rFonts w:ascii="Calibri" w:eastAsia="Calibri" w:hAnsi="Calibri" w:cs="Times New Roman"/>
          <w:b/>
          <w:snapToGrid/>
          <w:sz w:val="22"/>
        </w:rPr>
      </w:pPr>
      <w:r w:rsidRPr="005B3EE9">
        <w:rPr>
          <w:rFonts w:ascii="Calibri" w:eastAsia="Calibri" w:hAnsi="Calibri" w:cs="Times New Roman"/>
          <w:b/>
          <w:snapToGrid/>
          <w:sz w:val="22"/>
        </w:rPr>
        <w:t>Tulundusühistu Tuleva ettepanekust</w:t>
      </w:r>
    </w:p>
    <w:p w:rsidR="005B3EE9" w:rsidRPr="005B3EE9" w:rsidRDefault="005B3EE9" w:rsidP="005B3EE9">
      <w:pPr>
        <w:spacing w:after="160" w:line="259" w:lineRule="auto"/>
        <w:jc w:val="left"/>
        <w:rPr>
          <w:rFonts w:ascii="Calibri" w:eastAsia="Calibri" w:hAnsi="Calibri" w:cs="Times New Roman"/>
          <w:snapToGrid/>
          <w:sz w:val="22"/>
        </w:rPr>
      </w:pPr>
      <w:r w:rsidRPr="005B3EE9">
        <w:rPr>
          <w:rFonts w:ascii="Calibri" w:eastAsia="Calibri" w:hAnsi="Calibri" w:cs="Times New Roman"/>
          <w:snapToGrid/>
          <w:sz w:val="22"/>
        </w:rPr>
        <w:t>Tuleva on oma ettepanekus loonud pildi nagu hetkel oleks teise samba väljamaksete regulatsioon äärmiselt kliendivaenulik, tuues välja rida näiteid, mis lähemalt analüüsides on osutunud kas valeks või selgelt eksitavaks. Samasugusele järeldusele on tulnud ka Eesti Vabariigi õiguskantsler (õiguskantsleri kiri on lisatud).</w:t>
      </w:r>
    </w:p>
    <w:p w:rsidR="005B3EE9" w:rsidRPr="005B3EE9" w:rsidRDefault="005B3EE9" w:rsidP="005B3EE9">
      <w:pPr>
        <w:spacing w:after="160" w:line="259" w:lineRule="auto"/>
        <w:jc w:val="left"/>
        <w:rPr>
          <w:rFonts w:ascii="Calibri" w:eastAsia="Calibri" w:hAnsi="Calibri" w:cs="Times New Roman"/>
          <w:snapToGrid/>
          <w:sz w:val="22"/>
        </w:rPr>
      </w:pPr>
      <w:r w:rsidRPr="005B3EE9">
        <w:rPr>
          <w:rFonts w:ascii="Calibri" w:eastAsia="Calibri" w:hAnsi="Calibri" w:cs="Times New Roman"/>
          <w:snapToGrid/>
          <w:sz w:val="22"/>
        </w:rPr>
        <w:t>Kui jätta kõrvale ettepanekus esitatud sisutühjad loosungid ja keskenduda konkreetsematele argumentidele, millega kindlasti antud ettepanekus ei saa nõustuda</w:t>
      </w:r>
    </w:p>
    <w:p w:rsidR="005B3EE9" w:rsidRPr="005B3EE9" w:rsidRDefault="005B3EE9" w:rsidP="005B3EE9">
      <w:pPr>
        <w:numPr>
          <w:ilvl w:val="0"/>
          <w:numId w:val="47"/>
        </w:numPr>
        <w:spacing w:after="160" w:line="259" w:lineRule="auto"/>
        <w:contextualSpacing/>
        <w:jc w:val="left"/>
        <w:rPr>
          <w:rFonts w:ascii="Calibri" w:eastAsia="Calibri" w:hAnsi="Calibri" w:cs="Times New Roman"/>
          <w:snapToGrid/>
          <w:sz w:val="22"/>
        </w:rPr>
      </w:pPr>
      <w:r w:rsidRPr="005B3EE9">
        <w:rPr>
          <w:rFonts w:ascii="Calibri" w:eastAsia="Calibri" w:hAnsi="Calibri" w:cs="Times New Roman"/>
          <w:snapToGrid/>
          <w:sz w:val="22"/>
        </w:rPr>
        <w:t xml:space="preserve">Tänuväärselt on võrreldud Eesti ja Rootsi pensionisüsteemi väljamakseid. Tõsi, rootslased on Eesti nö teise sambaga analoogse teenuse (nn. </w:t>
      </w:r>
      <w:proofErr w:type="spellStart"/>
      <w:r w:rsidRPr="005B3EE9">
        <w:rPr>
          <w:rFonts w:ascii="Calibri" w:eastAsia="Calibri" w:hAnsi="Calibri" w:cs="Times New Roman"/>
          <w:i/>
          <w:snapToGrid/>
          <w:sz w:val="22"/>
        </w:rPr>
        <w:t>premium</w:t>
      </w:r>
      <w:proofErr w:type="spellEnd"/>
      <w:r w:rsidRPr="005B3EE9">
        <w:rPr>
          <w:rFonts w:ascii="Calibri" w:eastAsia="Calibri" w:hAnsi="Calibri" w:cs="Times New Roman"/>
          <w:i/>
          <w:snapToGrid/>
          <w:sz w:val="22"/>
        </w:rPr>
        <w:t xml:space="preserve"> pension</w:t>
      </w:r>
      <w:r w:rsidRPr="005B3EE9">
        <w:rPr>
          <w:rFonts w:ascii="Calibri" w:eastAsia="Calibri" w:hAnsi="Calibri" w:cs="Times New Roman"/>
          <w:snapToGrid/>
          <w:sz w:val="22"/>
        </w:rPr>
        <w:t xml:space="preserve">) kujundamisel olnud äärmiselt eesmärgikesksed. Kuna </w:t>
      </w:r>
      <w:proofErr w:type="spellStart"/>
      <w:r w:rsidRPr="005B3EE9">
        <w:rPr>
          <w:rFonts w:ascii="Calibri" w:eastAsia="Calibri" w:hAnsi="Calibri" w:cs="Times New Roman"/>
          <w:i/>
          <w:snapToGrid/>
          <w:sz w:val="22"/>
        </w:rPr>
        <w:t>premium</w:t>
      </w:r>
      <w:proofErr w:type="spellEnd"/>
      <w:r w:rsidRPr="005B3EE9">
        <w:rPr>
          <w:rFonts w:ascii="Calibri" w:eastAsia="Calibri" w:hAnsi="Calibri" w:cs="Times New Roman"/>
          <w:i/>
          <w:snapToGrid/>
          <w:sz w:val="22"/>
        </w:rPr>
        <w:t xml:space="preserve"> pension </w:t>
      </w:r>
      <w:r w:rsidRPr="005B3EE9">
        <w:rPr>
          <w:rFonts w:ascii="Calibri" w:eastAsia="Calibri" w:hAnsi="Calibri" w:cs="Times New Roman"/>
          <w:snapToGrid/>
          <w:sz w:val="22"/>
        </w:rPr>
        <w:t xml:space="preserve">on analoogselt Eestiga pigem I samba demograafilist riski maandav vahend, ei ole võimalik Rootsi süsteemis teisest sambast raha välja võtta mingil muul moel kui eluaegse pensionina. Tuleva endale sobivalt seda välja ei too. </w:t>
      </w:r>
    </w:p>
    <w:p w:rsidR="005B3EE9" w:rsidRPr="005B3EE9" w:rsidRDefault="005B3EE9" w:rsidP="005B3EE9">
      <w:pPr>
        <w:spacing w:after="160" w:line="259" w:lineRule="auto"/>
        <w:ind w:left="720"/>
        <w:contextualSpacing/>
        <w:jc w:val="left"/>
        <w:rPr>
          <w:rFonts w:ascii="Calibri" w:eastAsia="Calibri" w:hAnsi="Calibri" w:cs="Times New Roman"/>
          <w:snapToGrid/>
          <w:sz w:val="22"/>
        </w:rPr>
      </w:pPr>
      <w:r w:rsidRPr="005B3EE9">
        <w:rPr>
          <w:rFonts w:ascii="Calibri" w:eastAsia="Calibri" w:hAnsi="Calibri" w:cs="Times New Roman"/>
          <w:snapToGrid/>
          <w:sz w:val="22"/>
        </w:rPr>
        <w:t>Lähemal analüüsimisel osutus valeks ka väide nagu Rootsis saaks sama raha eest oluliselt parema pensioni. Tõsi, kui eeldustega manipuleerida ning võrrelda mittevõrreldavaid väärtusi, võib tulemuseks saada kaks väga erinevat numbrit, aga kui kasutada samu eeldusi, siis kindlasti ei vasta Tuleva väide tõele.</w:t>
      </w:r>
    </w:p>
    <w:p w:rsidR="005B3EE9" w:rsidRPr="005B3EE9" w:rsidRDefault="005B3EE9" w:rsidP="005B3EE9">
      <w:pPr>
        <w:numPr>
          <w:ilvl w:val="0"/>
          <w:numId w:val="47"/>
        </w:numPr>
        <w:spacing w:after="160" w:line="259" w:lineRule="auto"/>
        <w:contextualSpacing/>
        <w:jc w:val="left"/>
        <w:rPr>
          <w:rFonts w:ascii="Calibri" w:eastAsia="Calibri" w:hAnsi="Calibri" w:cs="Times New Roman"/>
          <w:snapToGrid/>
          <w:sz w:val="22"/>
        </w:rPr>
      </w:pPr>
      <w:r w:rsidRPr="005B3EE9">
        <w:rPr>
          <w:rFonts w:ascii="Calibri" w:eastAsia="Calibri" w:hAnsi="Calibri" w:cs="Times New Roman"/>
          <w:snapToGrid/>
          <w:sz w:val="22"/>
        </w:rPr>
        <w:t>Tuleva on hinnanud, et II samba pension üksinda võetuna on liiga väike, mis ei taga inimestele piisavat pensioni. Tegemist on järjekordse demagoogilise väitega, mis juba eos tugineb valel eeldusel. Teine sammas pole kunagi mõeldud toimima üksi ilma esimese sambata. Oluline on see, et nii esimene kui teine sammas kokku suudaks tagada keskmiselt lubatud 40%-st asendusmäära.</w:t>
      </w:r>
    </w:p>
    <w:p w:rsidR="005B3EE9" w:rsidRPr="005B3EE9" w:rsidRDefault="005B3EE9" w:rsidP="005B3EE9">
      <w:pPr>
        <w:spacing w:after="160" w:line="259" w:lineRule="auto"/>
        <w:ind w:left="720"/>
        <w:contextualSpacing/>
        <w:jc w:val="left"/>
        <w:rPr>
          <w:rFonts w:ascii="Calibri" w:eastAsia="Calibri" w:hAnsi="Calibri" w:cs="Times New Roman"/>
          <w:snapToGrid/>
          <w:sz w:val="22"/>
        </w:rPr>
      </w:pPr>
      <w:r w:rsidRPr="005B3EE9">
        <w:rPr>
          <w:rFonts w:ascii="Calibri" w:eastAsia="Calibri" w:hAnsi="Calibri" w:cs="Times New Roman"/>
          <w:snapToGrid/>
          <w:sz w:val="22"/>
        </w:rPr>
        <w:lastRenderedPageBreak/>
        <w:t>Et adekvaatselt hinnata II samba pensioni mõju, tuleb hoopis küsida, kas II sambaga liitujatel õnnestub jõuda koos I sambaga lubatud asendusmäärani ning lisaks sellele, kas II sammas suudab anda inimestele parema pensioni võrdluses, kui teist sammast ei oleks loodud?</w:t>
      </w:r>
    </w:p>
    <w:p w:rsidR="005B3EE9" w:rsidRPr="005B3EE9" w:rsidRDefault="005B3EE9" w:rsidP="005B3EE9">
      <w:pPr>
        <w:numPr>
          <w:ilvl w:val="0"/>
          <w:numId w:val="47"/>
        </w:numPr>
        <w:spacing w:after="160" w:line="259" w:lineRule="auto"/>
        <w:contextualSpacing/>
        <w:jc w:val="left"/>
        <w:rPr>
          <w:rFonts w:ascii="Calibri" w:eastAsia="Calibri" w:hAnsi="Calibri" w:cs="Times New Roman"/>
          <w:snapToGrid/>
          <w:sz w:val="22"/>
        </w:rPr>
      </w:pPr>
      <w:r w:rsidRPr="005B3EE9">
        <w:rPr>
          <w:rFonts w:ascii="Calibri" w:eastAsia="Calibri" w:hAnsi="Calibri" w:cs="Times New Roman"/>
          <w:snapToGrid/>
          <w:sz w:val="22"/>
        </w:rPr>
        <w:t>Tuleva teadlikult eirab informatsiooni juba suvel riigikogu poolt vastu võetud väljamaksete muudatuste kohta, millest tulenevalt oma kolmanda näitega murrab piltlikult öeldes sisse juba pärani olevast uksest. Tõsi, eelnevalt seatud toote tingimuste järgi ning käesolevas intressikeskkonnas polnud võimalik pakkuda klientidele lahendusi, mis võiks olla seotud täiendava investeerimisriski ning samas ka oodatava pensionikasvuga. Tänaseks on see probleem lahendatud, sest alates 1. jaanuarist 2018 hakkas kehtima uus kohustusliku kogumispensioni regulatsioon, mis avardab pensioni väljamakse võimalusi kliendi jaoks.</w:t>
      </w:r>
    </w:p>
    <w:p w:rsidR="005B3EE9" w:rsidRPr="005B3EE9" w:rsidRDefault="005B3EE9" w:rsidP="005B3EE9">
      <w:pPr>
        <w:numPr>
          <w:ilvl w:val="0"/>
          <w:numId w:val="47"/>
        </w:numPr>
        <w:spacing w:after="160" w:line="259" w:lineRule="auto"/>
        <w:contextualSpacing/>
        <w:jc w:val="left"/>
        <w:rPr>
          <w:rFonts w:ascii="Calibri" w:eastAsia="Calibri" w:hAnsi="Calibri" w:cs="Times New Roman"/>
          <w:snapToGrid/>
          <w:sz w:val="22"/>
        </w:rPr>
      </w:pPr>
      <w:r w:rsidRPr="005B3EE9">
        <w:rPr>
          <w:rFonts w:ascii="Calibri" w:eastAsia="Calibri" w:hAnsi="Calibri" w:cs="Times New Roman"/>
          <w:snapToGrid/>
          <w:sz w:val="22"/>
        </w:rPr>
        <w:t>Peame osaliselt nõustuma Tuleva väitega pensionisüsteemi halva maine ja vähese usalduse osas, aga selle juures tuleb kahetsusväärselt tõdeda, et viimasel ajal on Eesti pensionisüsteemi usaldusväärsus kannatada saanud peamiselt tänu Tuleva avalikkuse eksitamisele, mis on eelkõige lähtunud nende endi ärihuvidest.</w:t>
      </w:r>
    </w:p>
    <w:p w:rsidR="005B3EE9" w:rsidRPr="005B3EE9" w:rsidRDefault="005B3EE9" w:rsidP="005B3EE9">
      <w:pPr>
        <w:numPr>
          <w:ilvl w:val="1"/>
          <w:numId w:val="47"/>
        </w:numPr>
        <w:spacing w:after="160" w:line="259" w:lineRule="auto"/>
        <w:contextualSpacing/>
        <w:jc w:val="left"/>
        <w:rPr>
          <w:rFonts w:ascii="Calibri" w:eastAsia="Calibri" w:hAnsi="Calibri" w:cs="Times New Roman"/>
          <w:snapToGrid/>
          <w:sz w:val="22"/>
        </w:rPr>
      </w:pPr>
      <w:r w:rsidRPr="005B3EE9">
        <w:rPr>
          <w:rFonts w:ascii="Calibri" w:eastAsia="Calibri" w:hAnsi="Calibri" w:cs="Times New Roman"/>
          <w:snapToGrid/>
          <w:sz w:val="22"/>
        </w:rPr>
        <w:t>Tuleva soovib küll osa võtta väljamaksete teenuse pakkumisest, aga samal ajal ei soovi võtta osa vastutusest, mis kaasneb eluaegse pensioni tagamisega.</w:t>
      </w:r>
    </w:p>
    <w:p w:rsidR="005B3EE9" w:rsidRPr="005B3EE9" w:rsidRDefault="005B3EE9" w:rsidP="005B3EE9">
      <w:pPr>
        <w:numPr>
          <w:ilvl w:val="1"/>
          <w:numId w:val="47"/>
        </w:numPr>
        <w:spacing w:after="160" w:line="259" w:lineRule="auto"/>
        <w:contextualSpacing/>
        <w:jc w:val="left"/>
        <w:rPr>
          <w:rFonts w:ascii="Calibri" w:eastAsia="Calibri" w:hAnsi="Calibri" w:cs="Times New Roman"/>
          <w:snapToGrid/>
          <w:sz w:val="22"/>
        </w:rPr>
      </w:pPr>
      <w:r w:rsidRPr="005B3EE9">
        <w:rPr>
          <w:rFonts w:ascii="Calibri" w:eastAsia="Calibri" w:hAnsi="Calibri" w:cs="Times New Roman"/>
          <w:snapToGrid/>
          <w:sz w:val="22"/>
        </w:rPr>
        <w:t>Tuleva ettepanekutest võidaks eelkõige jõukam klient, kellele antakse rohkem vabadust teha endale sobivaid otsuseid. Samal ajal avab see riski mõjutamaks negatiivselt eluaegse pensioni väärtust inimestel, kellel muid valikuid ei ole. Kui võtta võrdluseks kõrvale klientide statistika, siis juhuslikult ongi nii välja kukkunud, et Tuleva klientidel on kaks korda rohkem II samba vara kui turul keskmiselt.</w:t>
      </w:r>
    </w:p>
    <w:p w:rsidR="005B3EE9" w:rsidRPr="005B3EE9" w:rsidRDefault="005B3EE9" w:rsidP="005B3EE9">
      <w:pPr>
        <w:spacing w:after="160" w:line="259" w:lineRule="auto"/>
        <w:jc w:val="left"/>
        <w:rPr>
          <w:rFonts w:ascii="Calibri" w:eastAsia="Calibri" w:hAnsi="Calibri" w:cs="Times New Roman"/>
          <w:snapToGrid/>
          <w:sz w:val="22"/>
        </w:rPr>
      </w:pPr>
    </w:p>
    <w:p w:rsidR="005B3EE9" w:rsidRPr="005B3EE9" w:rsidRDefault="005B3EE9" w:rsidP="005B3EE9">
      <w:pPr>
        <w:spacing w:after="160" w:line="259" w:lineRule="auto"/>
        <w:jc w:val="left"/>
        <w:rPr>
          <w:rFonts w:ascii="Calibri" w:eastAsia="Calibri" w:hAnsi="Calibri" w:cs="Times New Roman"/>
          <w:snapToGrid/>
          <w:sz w:val="22"/>
        </w:rPr>
      </w:pPr>
      <w:r w:rsidRPr="005B3EE9">
        <w:rPr>
          <w:rFonts w:ascii="Calibri" w:eastAsia="Calibri" w:hAnsi="Calibri" w:cs="Times New Roman"/>
          <w:snapToGrid/>
          <w:sz w:val="22"/>
        </w:rPr>
        <w:t xml:space="preserve">Eelnevat arvesse võttes on vastupidiselt väidetule Tuleva ettepanek teise samba eesmärgi ja inimeste pensioni tagamise mõttes kahjulik ja tehtud analüüs puudulik. Võrreldakse võrreldamatut, sest erinevate riikide pensionisüsteemid erinevad põhimõtteliselt ja mõistete tasandil. Sellele probleemile on </w:t>
      </w:r>
      <w:bookmarkStart w:id="0" w:name="_GoBack"/>
      <w:bookmarkEnd w:id="0"/>
      <w:r w:rsidRPr="005B3EE9">
        <w:rPr>
          <w:rFonts w:ascii="Calibri" w:eastAsia="Calibri" w:hAnsi="Calibri" w:cs="Times New Roman"/>
          <w:snapToGrid/>
          <w:sz w:val="22"/>
        </w:rPr>
        <w:t xml:space="preserve">osundanud mh ka OECD (näiteks </w:t>
      </w:r>
      <w:hyperlink r:id="rId8" w:anchor="page109" w:history="1">
        <w:r w:rsidRPr="005B3EE9">
          <w:rPr>
            <w:rFonts w:ascii="Calibri" w:eastAsia="Calibri" w:hAnsi="Calibri" w:cs="Times New Roman"/>
            <w:i/>
            <w:snapToGrid/>
            <w:color w:val="0563C1"/>
            <w:sz w:val="22"/>
            <w:u w:val="single"/>
          </w:rPr>
          <w:t xml:space="preserve">OECD </w:t>
        </w:r>
        <w:proofErr w:type="spellStart"/>
        <w:r w:rsidRPr="005B3EE9">
          <w:rPr>
            <w:rFonts w:ascii="Calibri" w:eastAsia="Calibri" w:hAnsi="Calibri" w:cs="Times New Roman"/>
            <w:i/>
            <w:snapToGrid/>
            <w:color w:val="0563C1"/>
            <w:sz w:val="22"/>
            <w:u w:val="single"/>
          </w:rPr>
          <w:t>Pensions</w:t>
        </w:r>
        <w:proofErr w:type="spellEnd"/>
        <w:r w:rsidRPr="005B3EE9">
          <w:rPr>
            <w:rFonts w:ascii="Calibri" w:eastAsia="Calibri" w:hAnsi="Calibri" w:cs="Times New Roman"/>
            <w:i/>
            <w:snapToGrid/>
            <w:color w:val="0563C1"/>
            <w:sz w:val="22"/>
            <w:u w:val="single"/>
          </w:rPr>
          <w:t xml:space="preserve"> Outlook 2016</w:t>
        </w:r>
      </w:hyperlink>
      <w:r w:rsidRPr="005B3EE9">
        <w:rPr>
          <w:rFonts w:ascii="Calibri" w:eastAsia="Calibri" w:hAnsi="Calibri" w:cs="Times New Roman"/>
          <w:snapToGrid/>
          <w:sz w:val="22"/>
        </w:rPr>
        <w:t xml:space="preserve">). Eesti kontekstis väärib märkimist näiteks termin teine sammas. </w:t>
      </w:r>
    </w:p>
    <w:p w:rsidR="005B3EE9" w:rsidRPr="005B3EE9" w:rsidRDefault="005B3EE9" w:rsidP="005B3EE9">
      <w:pPr>
        <w:spacing w:after="160" w:line="259" w:lineRule="auto"/>
        <w:jc w:val="left"/>
        <w:rPr>
          <w:rFonts w:ascii="Calibri" w:eastAsia="Calibri" w:hAnsi="Calibri" w:cs="Times New Roman"/>
          <w:snapToGrid/>
          <w:sz w:val="22"/>
        </w:rPr>
      </w:pPr>
      <w:r w:rsidRPr="005B3EE9">
        <w:rPr>
          <w:rFonts w:ascii="Calibri" w:eastAsia="Calibri" w:hAnsi="Calibri" w:cs="Times New Roman"/>
          <w:snapToGrid/>
          <w:sz w:val="22"/>
        </w:rPr>
        <w:t>Pensionisüsteemi on vaja kindlasti muuta, aga eelkõige lähtuvalt sellest, kuidas tervikuna muuta süsteemi rahastamist, mis ei sõltuks nii suurel määral elanikkonna vananemise riskist ning kuidas koos kolmanda sambaga oleks võimalik jõuda keskmise asendusmäärani, mis ulatuks 65%-</w:t>
      </w:r>
      <w:proofErr w:type="spellStart"/>
      <w:r w:rsidRPr="005B3EE9">
        <w:rPr>
          <w:rFonts w:ascii="Calibri" w:eastAsia="Calibri" w:hAnsi="Calibri" w:cs="Times New Roman"/>
          <w:snapToGrid/>
          <w:sz w:val="22"/>
        </w:rPr>
        <w:t>ni</w:t>
      </w:r>
      <w:proofErr w:type="spellEnd"/>
      <w:r w:rsidRPr="005B3EE9">
        <w:rPr>
          <w:rFonts w:ascii="Calibri" w:eastAsia="Calibri" w:hAnsi="Calibri" w:cs="Times New Roman"/>
          <w:snapToGrid/>
          <w:sz w:val="22"/>
        </w:rPr>
        <w:t xml:space="preserve"> viimasest palgast.</w:t>
      </w:r>
    </w:p>
    <w:p w:rsidR="005B3EE9" w:rsidRPr="005B3EE9" w:rsidRDefault="005B3EE9" w:rsidP="005B3EE9">
      <w:pPr>
        <w:spacing w:after="160" w:line="259" w:lineRule="auto"/>
        <w:jc w:val="left"/>
        <w:rPr>
          <w:rFonts w:ascii="Calibri" w:eastAsia="Calibri" w:hAnsi="Calibri" w:cs="Times New Roman"/>
          <w:snapToGrid/>
          <w:sz w:val="22"/>
        </w:rPr>
      </w:pPr>
      <w:r w:rsidRPr="005B3EE9">
        <w:rPr>
          <w:rFonts w:ascii="Calibri" w:eastAsia="Calibri" w:hAnsi="Calibri" w:cs="Times New Roman"/>
          <w:snapToGrid/>
          <w:sz w:val="22"/>
        </w:rPr>
        <w:t xml:space="preserve">Esimese sammuna tuleks Eesti pensionisüsteemi kuvandit muuta. Tuleb ausalt tunnistada, et sisulises  mõttes (klassikalises tähenduses võrreldes arenenud Euroopa riikidega) pole Eestis teist sammast rajatud. Me oleme täna tõstnud esimesest sambast välja ühe tüki ning nimetanud selle teiseks pensionisambaks, mis aga ei too suures pildis piisavalt lisaväärtust. Samal ajal räägime, et meil on kõik kolm sammast olemas analoogselt eeskujulike Euroopa riikidega, kus pensioniks kindlustatus on oluliselt parem. Tegelikult see nii ole. Eesti pensionisüsteemis puudub endiselt tööandjate kaudu töötav raha kogumine ja pensioniks säästmine. See on oluline kvalitatiivne vahe. </w:t>
      </w:r>
    </w:p>
    <w:p w:rsidR="005B3EE9" w:rsidRPr="005B3EE9" w:rsidRDefault="005B3EE9" w:rsidP="005B3EE9">
      <w:pPr>
        <w:spacing w:after="160" w:line="259" w:lineRule="auto"/>
        <w:jc w:val="left"/>
        <w:rPr>
          <w:rFonts w:ascii="Calibri" w:eastAsia="Calibri" w:hAnsi="Calibri" w:cs="Times New Roman"/>
          <w:snapToGrid/>
          <w:sz w:val="22"/>
        </w:rPr>
      </w:pPr>
      <w:r w:rsidRPr="005B3EE9">
        <w:rPr>
          <w:rFonts w:ascii="Calibri" w:eastAsia="Calibri" w:hAnsi="Calibri" w:cs="Times New Roman"/>
          <w:snapToGrid/>
          <w:sz w:val="22"/>
        </w:rPr>
        <w:t>Kui suhtuda konstruktiivselt Tuleva ettepanekutesse, siis neid ei tuleks kasutada mitte II samba lammutamiseks. Tuleva ettepanekud sobivad väga hästi III samba raamistikku, mille sees tuleks otsida lahendusi täiendavate pensioni kattevarade kasvuks ning millega käiks kaasas klientide suurem otsustusvabadus.</w:t>
      </w:r>
    </w:p>
    <w:p w:rsidR="001F7066" w:rsidRDefault="001F7066" w:rsidP="001F7066">
      <w:pPr>
        <w:pStyle w:val="Teksthelreal"/>
      </w:pPr>
    </w:p>
    <w:p w:rsidR="001F7066" w:rsidRDefault="005B3EE9" w:rsidP="001F7066">
      <w:pPr>
        <w:pStyle w:val="Teksthelreal"/>
      </w:pPr>
      <w:r>
        <w:t>Lugupidamisega</w:t>
      </w:r>
    </w:p>
    <w:p w:rsidR="001F7066" w:rsidRDefault="001F7066" w:rsidP="001F7066">
      <w:pPr>
        <w:pStyle w:val="Teksthelreal"/>
      </w:pPr>
    </w:p>
    <w:p w:rsidR="001F7066" w:rsidRDefault="001F7066" w:rsidP="001F7066">
      <w:pPr>
        <w:pStyle w:val="Teksthelreal"/>
      </w:pPr>
      <w:r>
        <w:t>/allkirjastatud digitaalselt/</w:t>
      </w:r>
    </w:p>
    <w:p w:rsidR="00B458AB" w:rsidRDefault="005B3EE9" w:rsidP="005B3EE9">
      <w:pPr>
        <w:pStyle w:val="Teksthelreal"/>
      </w:pPr>
      <w:r>
        <w:t>Andres Piirsalu</w:t>
      </w:r>
    </w:p>
    <w:sectPr w:rsidR="00B458AB">
      <w:headerReference w:type="default" r:id="rId9"/>
      <w:headerReference w:type="first" r:id="rId10"/>
      <w:footerReference w:type="first" r:id="rId11"/>
      <w:pgSz w:w="11906" w:h="16838"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EE9" w:rsidRDefault="005B3EE9">
      <w:r>
        <w:separator/>
      </w:r>
    </w:p>
  </w:endnote>
  <w:endnote w:type="continuationSeparator" w:id="0">
    <w:p w:rsidR="005B3EE9" w:rsidRDefault="005B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066" w:rsidRDefault="001F7066" w:rsidP="001F7066">
    <w:pPr>
      <w:pStyle w:val="Jalus"/>
    </w:pPr>
  </w:p>
  <w:p w:rsidR="001F7066" w:rsidRDefault="001F7066" w:rsidP="001F7066">
    <w:pPr>
      <w:pStyle w:val="Jalus"/>
    </w:pPr>
    <w:r>
      <w:t>Eesti Kindlustusseltside Liit, registrikood 80007648</w:t>
    </w:r>
  </w:p>
  <w:p w:rsidR="001F7066" w:rsidRDefault="001F7066" w:rsidP="001F7066">
    <w:pPr>
      <w:pStyle w:val="Jalus"/>
    </w:pPr>
    <w:r>
      <w:t xml:space="preserve">Mustamäe tee 46, 10621 Tallinn </w:t>
    </w:r>
  </w:p>
  <w:p w:rsidR="001F7066" w:rsidRDefault="001F7066">
    <w:pPr>
      <w:pStyle w:val="Jalus"/>
    </w:pPr>
    <w:r>
      <w:t>Tel 667 1800, info@eksl.ee, www.eksl.ee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EE9" w:rsidRDefault="005B3EE9">
      <w:r>
        <w:separator/>
      </w:r>
    </w:p>
  </w:footnote>
  <w:footnote w:type="continuationSeparator" w:id="0">
    <w:p w:rsidR="005B3EE9" w:rsidRDefault="005B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DEB" w:rsidRDefault="00B458AB">
    <w:pPr>
      <w:pStyle w:val="Pis"/>
      <w:jc w:val="center"/>
    </w:pPr>
    <w:r>
      <w:rPr>
        <w:noProof/>
        <w:snapToGrid/>
        <w:lang w:eastAsia="et-EE"/>
      </w:rPr>
      <w:drawing>
        <wp:anchor distT="0" distB="0" distL="114300" distR="114300" simplePos="0" relativeHeight="251661312" behindDoc="1" locked="0" layoutInCell="1" allowOverlap="1" wp14:anchorId="0CDB8525" wp14:editId="5C8F83C7">
          <wp:simplePos x="0" y="0"/>
          <wp:positionH relativeFrom="page">
            <wp:posOffset>0</wp:posOffset>
          </wp:positionH>
          <wp:positionV relativeFrom="page">
            <wp:posOffset>0</wp:posOffset>
          </wp:positionV>
          <wp:extent cx="8280000" cy="57600"/>
          <wp:effectExtent l="0" t="0" r="0" b="0"/>
          <wp:wrapNone/>
          <wp:docPr id="4" name="Pilt 4" descr="triip_21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ip_21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0" cy="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7DEB">
      <w:t xml:space="preserve">- </w:t>
    </w:r>
    <w:r w:rsidR="00037DEB">
      <w:fldChar w:fldCharType="begin"/>
    </w:r>
    <w:r w:rsidR="00037DEB">
      <w:instrText xml:space="preserve"> PAGE </w:instrText>
    </w:r>
    <w:r w:rsidR="00037DEB">
      <w:fldChar w:fldCharType="separate"/>
    </w:r>
    <w:r w:rsidR="00B37084">
      <w:rPr>
        <w:noProof/>
      </w:rPr>
      <w:t>2</w:t>
    </w:r>
    <w:r w:rsidR="00037DEB">
      <w:fldChar w:fldCharType="end"/>
    </w:r>
    <w:r w:rsidR="00037DE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E98" w:rsidRPr="001A23F9" w:rsidRDefault="003F0EB8">
    <w:pPr>
      <w:pStyle w:val="Pis"/>
      <w:rPr>
        <w:sz w:val="2"/>
        <w:szCs w:val="2"/>
      </w:rPr>
    </w:pPr>
    <w:r w:rsidRPr="001A23F9">
      <w:rPr>
        <w:noProof/>
        <w:snapToGrid/>
        <w:sz w:val="2"/>
        <w:szCs w:val="2"/>
        <w:lang w:eastAsia="et-EE"/>
      </w:rPr>
      <w:drawing>
        <wp:anchor distT="0" distB="0" distL="114300" distR="114300" simplePos="0" relativeHeight="251662336" behindDoc="1" locked="0" layoutInCell="1" allowOverlap="1">
          <wp:simplePos x="0" y="0"/>
          <wp:positionH relativeFrom="column">
            <wp:posOffset>-866775</wp:posOffset>
          </wp:positionH>
          <wp:positionV relativeFrom="paragraph">
            <wp:posOffset>-17145</wp:posOffset>
          </wp:positionV>
          <wp:extent cx="2725200" cy="860400"/>
          <wp:effectExtent l="0" t="0" r="0" b="0"/>
          <wp:wrapNone/>
          <wp:docPr id="7" name="Pilt 7"/>
          <wp:cNvGraphicFramePr/>
          <a:graphic xmlns:a="http://schemas.openxmlformats.org/drawingml/2006/main">
            <a:graphicData uri="http://schemas.openxmlformats.org/drawingml/2006/picture">
              <pic:pic xmlns:pic="http://schemas.openxmlformats.org/drawingml/2006/picture">
                <pic:nvPicPr>
                  <pic:cNvPr id="7" name="Pilt 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52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8AB" w:rsidRPr="001A23F9">
      <w:rPr>
        <w:noProof/>
        <w:snapToGrid/>
        <w:sz w:val="2"/>
        <w:szCs w:val="2"/>
        <w:lang w:eastAsia="et-EE"/>
      </w:rPr>
      <mc:AlternateContent>
        <mc:Choice Requires="wps">
          <w:drawing>
            <wp:anchor distT="0" distB="0" distL="114300" distR="114300" simplePos="0" relativeHeight="251656189" behindDoc="0" locked="0" layoutInCell="1" allowOverlap="1" wp14:anchorId="56B58EF3" wp14:editId="0E39F36E">
              <wp:simplePos x="0" y="0"/>
              <wp:positionH relativeFrom="page">
                <wp:posOffset>0</wp:posOffset>
              </wp:positionH>
              <wp:positionV relativeFrom="page">
                <wp:posOffset>0</wp:posOffset>
              </wp:positionV>
              <wp:extent cx="7560000" cy="1602000"/>
              <wp:effectExtent l="0" t="0" r="0" b="0"/>
              <wp:wrapSquare wrapText="bothSides"/>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6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1FBD9" id="Rectangle 5" o:spid="_x0000_s1026" style="position:absolute;margin-left:0;margin-top:0;width:595.3pt;height:126.15pt;z-index:2516561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" filled="f" stroked="f">
              <w10:wrap type="square" anchorx="page" anchory="page"/>
            </v:rect>
          </w:pict>
        </mc:Fallback>
      </mc:AlternateContent>
    </w:r>
    <w:r w:rsidR="00B458AB" w:rsidRPr="001A23F9">
      <w:rPr>
        <w:noProof/>
        <w:snapToGrid/>
        <w:sz w:val="2"/>
        <w:szCs w:val="2"/>
        <w:lang w:eastAsia="et-EE"/>
      </w:rPr>
      <w:drawing>
        <wp:anchor distT="0" distB="0" distL="114300" distR="114300" simplePos="0" relativeHeight="251659264" behindDoc="1" locked="0" layoutInCell="1" allowOverlap="1" wp14:anchorId="0CDB8525" wp14:editId="5C8F83C7">
          <wp:simplePos x="0" y="0"/>
          <wp:positionH relativeFrom="page">
            <wp:posOffset>0</wp:posOffset>
          </wp:positionH>
          <wp:positionV relativeFrom="page">
            <wp:posOffset>0</wp:posOffset>
          </wp:positionV>
          <wp:extent cx="8280000" cy="57600"/>
          <wp:effectExtent l="0" t="0" r="0" b="0"/>
          <wp:wrapNone/>
          <wp:docPr id="3" name="Pilt 3" descr="triip_21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ip_210m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0000" cy="5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A8880B3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E881FD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338E269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328A69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5C0FF2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DE8EBC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8DB840E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D34028"/>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8F01B4E"/>
    <w:multiLevelType w:val="hybridMultilevel"/>
    <w:tmpl w:val="144E6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5E6366"/>
    <w:multiLevelType w:val="multilevel"/>
    <w:tmpl w:val="90CED0F2"/>
    <w:lvl w:ilvl="0">
      <w:start w:val="1"/>
      <w:numFmt w:val="decimal"/>
      <w:pStyle w:val="Punktidegasisu"/>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0"/>
      <w:lvlText w:val="%1.%2.%3.%4"/>
      <w:lvlJc w:val="left"/>
      <w:pPr>
        <w:tabs>
          <w:tab w:val="num" w:pos="851"/>
        </w:tabs>
        <w:ind w:left="851" w:hanging="851"/>
      </w:pPr>
      <w:rPr>
        <w:rFonts w:hint="default"/>
      </w:rPr>
    </w:lvl>
    <w:lvl w:ilvl="4">
      <w:start w:val="1"/>
      <w:numFmt w:val="decimal"/>
      <w:lvlText w:val="(%5)"/>
      <w:lvlJc w:val="left"/>
      <w:pPr>
        <w:tabs>
          <w:tab w:val="num" w:pos="3676"/>
        </w:tabs>
        <w:ind w:left="3676" w:hanging="72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10" w15:restartNumberingAfterBreak="0">
    <w:nsid w:val="0E7B3777"/>
    <w:multiLevelType w:val="hybridMultilevel"/>
    <w:tmpl w:val="B464024E"/>
    <w:lvl w:ilvl="0" w:tplc="47ACE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FE2A63"/>
    <w:multiLevelType w:val="multilevel"/>
    <w:tmpl w:val="4A72496C"/>
    <w:lvl w:ilvl="0">
      <w:start w:val="1"/>
      <w:numFmt w:val="bullet"/>
      <w:pStyle w:val="Loetelu"/>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2B1221E"/>
    <w:multiLevelType w:val="hybridMultilevel"/>
    <w:tmpl w:val="7D7691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A000F94"/>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525FFB"/>
    <w:multiLevelType w:val="multilevel"/>
    <w:tmpl w:val="BD1C5C86"/>
    <w:lvl w:ilvl="0">
      <w:start w:val="1"/>
      <w:numFmt w:val="decimal"/>
      <w:pStyle w:val="Pealkiri1"/>
      <w:lvlText w:val="%1"/>
      <w:lvlJc w:val="left"/>
      <w:pPr>
        <w:tabs>
          <w:tab w:val="num" w:pos="851"/>
        </w:tabs>
        <w:ind w:left="851" w:hanging="851"/>
      </w:pPr>
      <w:rPr>
        <w:rFonts w:ascii="Arial" w:hAnsi="Arial" w:hint="default"/>
        <w:b/>
        <w:i w:val="0"/>
        <w:sz w:val="20"/>
      </w:rPr>
    </w:lvl>
    <w:lvl w:ilvl="1">
      <w:start w:val="1"/>
      <w:numFmt w:val="decimal"/>
      <w:pStyle w:val="Pealkiri2"/>
      <w:lvlText w:val="%1.%2"/>
      <w:lvlJc w:val="left"/>
      <w:pPr>
        <w:tabs>
          <w:tab w:val="num" w:pos="851"/>
        </w:tabs>
        <w:ind w:left="851" w:hanging="851"/>
      </w:pPr>
      <w:rPr>
        <w:rFonts w:ascii="Arial" w:hAnsi="Arial" w:hint="default"/>
        <w:b/>
        <w:i w:val="0"/>
        <w:sz w:val="20"/>
      </w:rPr>
    </w:lvl>
    <w:lvl w:ilvl="2">
      <w:start w:val="1"/>
      <w:numFmt w:val="decimal"/>
      <w:pStyle w:val="Pealkiri3"/>
      <w:lvlText w:val="%1.%2.%3"/>
      <w:lvlJc w:val="left"/>
      <w:pPr>
        <w:tabs>
          <w:tab w:val="num" w:pos="851"/>
        </w:tabs>
        <w:ind w:left="851" w:hanging="851"/>
      </w:pPr>
      <w:rPr>
        <w:rFonts w:ascii="Arial" w:hAnsi="Arial" w:hint="default"/>
        <w:b/>
        <w:i/>
        <w:sz w:val="20"/>
      </w:rPr>
    </w:lvl>
    <w:lvl w:ilvl="3">
      <w:start w:val="1"/>
      <w:numFmt w:val="decimal"/>
      <w:pStyle w:val="Pealkiri4"/>
      <w:lvlText w:val="%1.%2.%3.%4"/>
      <w:lvlJc w:val="left"/>
      <w:pPr>
        <w:tabs>
          <w:tab w:val="num" w:pos="851"/>
        </w:tabs>
        <w:ind w:left="851" w:hanging="851"/>
      </w:pPr>
      <w:rPr>
        <w:rFonts w:ascii="Arial" w:hAnsi="Arial" w:hint="default"/>
        <w:b w:val="0"/>
        <w:i/>
        <w:sz w:val="20"/>
      </w:rPr>
    </w:lvl>
    <w:lvl w:ilvl="4">
      <w:start w:val="1"/>
      <w:numFmt w:val="decimal"/>
      <w:pStyle w:val="Pealkiri5"/>
      <w:lvlText w:val="%1.%2.%3.%4.%5"/>
      <w:lvlJc w:val="left"/>
      <w:pPr>
        <w:tabs>
          <w:tab w:val="num" w:pos="1008"/>
        </w:tabs>
        <w:ind w:left="1008" w:hanging="1008"/>
      </w:pPr>
      <w:rPr>
        <w:rFonts w:hint="default"/>
      </w:rPr>
    </w:lvl>
    <w:lvl w:ilvl="5">
      <w:start w:val="1"/>
      <w:numFmt w:val="decimal"/>
      <w:pStyle w:val="Pealkiri6"/>
      <w:lvlText w:val="%1.%2.%3.%4.%5.%6"/>
      <w:lvlJc w:val="left"/>
      <w:pPr>
        <w:tabs>
          <w:tab w:val="num" w:pos="1152"/>
        </w:tabs>
        <w:ind w:left="1152" w:hanging="1152"/>
      </w:pPr>
      <w:rPr>
        <w:rFonts w:hint="default"/>
      </w:rPr>
    </w:lvl>
    <w:lvl w:ilvl="6">
      <w:start w:val="1"/>
      <w:numFmt w:val="decimal"/>
      <w:pStyle w:val="Pealkiri7"/>
      <w:lvlText w:val="%1.%2.%3.%4.%5.%6.%7"/>
      <w:lvlJc w:val="left"/>
      <w:pPr>
        <w:tabs>
          <w:tab w:val="num" w:pos="1296"/>
        </w:tabs>
        <w:ind w:left="1296" w:hanging="1296"/>
      </w:pPr>
      <w:rPr>
        <w:rFonts w:hint="default"/>
      </w:rPr>
    </w:lvl>
    <w:lvl w:ilvl="7">
      <w:start w:val="1"/>
      <w:numFmt w:val="decimal"/>
      <w:pStyle w:val="Pealkiri8"/>
      <w:lvlText w:val="%1.%2.%3.%4.%5.%6.%7.%8"/>
      <w:lvlJc w:val="left"/>
      <w:pPr>
        <w:tabs>
          <w:tab w:val="num" w:pos="1440"/>
        </w:tabs>
        <w:ind w:left="1440" w:hanging="1440"/>
      </w:pPr>
      <w:rPr>
        <w:rFonts w:hint="default"/>
      </w:rPr>
    </w:lvl>
    <w:lvl w:ilvl="8">
      <w:start w:val="1"/>
      <w:numFmt w:val="decimal"/>
      <w:pStyle w:val="Pealkiri9"/>
      <w:lvlText w:val="%1.%2.%3.%4.%5.%6.%7.%8.%9"/>
      <w:lvlJc w:val="left"/>
      <w:pPr>
        <w:tabs>
          <w:tab w:val="num" w:pos="1584"/>
        </w:tabs>
        <w:ind w:left="1584" w:hanging="1584"/>
      </w:pPr>
      <w:rPr>
        <w:rFonts w:hint="default"/>
      </w:rPr>
    </w:lvl>
  </w:abstractNum>
  <w:abstractNum w:abstractNumId="15" w15:restartNumberingAfterBreak="0">
    <w:nsid w:val="4764170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651E30"/>
    <w:multiLevelType w:val="hybridMultilevel"/>
    <w:tmpl w:val="BD945188"/>
    <w:lvl w:ilvl="0" w:tplc="338A9DD6">
      <w:start w:val="1"/>
      <w:numFmt w:val="bullet"/>
      <w:lvlText w:val="-"/>
      <w:lvlJc w:val="left"/>
      <w:pPr>
        <w:ind w:left="720" w:hanging="360"/>
      </w:pPr>
      <w:rPr>
        <w:rFonts w:ascii="Calibri" w:eastAsiaTheme="minorHAnsi" w:hAnsi="Calibri" w:cstheme="minorBid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016175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D756A7"/>
    <w:multiLevelType w:val="multilevel"/>
    <w:tmpl w:val="04250023"/>
    <w:lvl w:ilvl="0">
      <w:start w:val="1"/>
      <w:numFmt w:val="upperRoman"/>
      <w:lvlText w:val="Artikkel %1."/>
      <w:lvlJc w:val="left"/>
      <w:pPr>
        <w:ind w:left="0" w:firstLine="0"/>
      </w:pPr>
    </w:lvl>
    <w:lvl w:ilvl="1">
      <w:start w:val="1"/>
      <w:numFmt w:val="decimalZero"/>
      <w:isLgl/>
      <w:lvlText w:val="Jaotis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5611355"/>
    <w:multiLevelType w:val="hybridMultilevel"/>
    <w:tmpl w:val="973A2314"/>
    <w:lvl w:ilvl="0" w:tplc="FF5AED6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3169FF"/>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2893EB9"/>
    <w:multiLevelType w:val="multilevel"/>
    <w:tmpl w:val="AAD669AE"/>
    <w:lvl w:ilvl="0">
      <w:start w:val="1"/>
      <w:numFmt w:val="decimal"/>
      <w:pStyle w:val="Tasemetegasisu"/>
      <w:lvlText w:val="%1."/>
      <w:lvlJc w:val="left"/>
      <w:pPr>
        <w:tabs>
          <w:tab w:val="num" w:pos="851"/>
        </w:tabs>
        <w:ind w:left="851" w:hanging="567"/>
      </w:pPr>
      <w:rPr>
        <w:rFonts w:hint="default"/>
      </w:rPr>
    </w:lvl>
    <w:lvl w:ilvl="1">
      <w:start w:val="1"/>
      <w:numFmt w:val="lowerLetter"/>
      <w:lvlText w:val="%2."/>
      <w:lvlJc w:val="left"/>
      <w:pPr>
        <w:tabs>
          <w:tab w:val="num" w:pos="1211"/>
        </w:tabs>
        <w:ind w:left="1134" w:hanging="283"/>
      </w:pPr>
      <w:rPr>
        <w:rFonts w:hint="default"/>
      </w:rPr>
    </w:lvl>
    <w:lvl w:ilvl="2">
      <w:start w:val="1"/>
      <w:numFmt w:val="lowerRoman"/>
      <w:lvlText w:val="%3."/>
      <w:lvlJc w:val="right"/>
      <w:pPr>
        <w:tabs>
          <w:tab w:val="num" w:pos="1701"/>
        </w:tabs>
        <w:ind w:left="1701" w:hanging="283"/>
      </w:pPr>
      <w:rPr>
        <w:rFonts w:hint="default"/>
      </w:rPr>
    </w:lvl>
    <w:lvl w:ilvl="3">
      <w:start w:val="1"/>
      <w:numFmt w:val="upperRoman"/>
      <w:lvlRestart w:val="0"/>
      <w:lvlText w:val="%4"/>
      <w:lvlJc w:val="left"/>
      <w:pPr>
        <w:tabs>
          <w:tab w:val="num" w:pos="2421"/>
        </w:tabs>
        <w:ind w:left="1985" w:hanging="284"/>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1"/>
  </w:num>
  <w:num w:numId="11">
    <w:abstractNumId w:val="8"/>
  </w:num>
  <w:num w:numId="12">
    <w:abstractNumId w:val="10"/>
  </w:num>
  <w:num w:numId="13">
    <w:abstractNumId w:val="19"/>
  </w:num>
  <w:num w:numId="14">
    <w:abstractNumId w:val="21"/>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
  </w:num>
  <w:num w:numId="21">
    <w:abstractNumId w:val="4"/>
  </w:num>
  <w:num w:numId="22">
    <w:abstractNumId w:val="1"/>
  </w:num>
  <w:num w:numId="23">
    <w:abstractNumId w:val="14"/>
  </w:num>
  <w:num w:numId="24">
    <w:abstractNumId w:val="14"/>
  </w:num>
  <w:num w:numId="25">
    <w:abstractNumId w:val="11"/>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9"/>
  </w:num>
  <w:num w:numId="36">
    <w:abstractNumId w:val="21"/>
  </w:num>
  <w:num w:numId="37">
    <w:abstractNumId w:val="15"/>
  </w:num>
  <w:num w:numId="38">
    <w:abstractNumId w:val="7"/>
  </w:num>
  <w:num w:numId="39">
    <w:abstractNumId w:val="20"/>
  </w:num>
  <w:num w:numId="40">
    <w:abstractNumId w:val="17"/>
  </w:num>
  <w:num w:numId="41">
    <w:abstractNumId w:val="13"/>
  </w:num>
  <w:num w:numId="42">
    <w:abstractNumId w:val="18"/>
  </w:num>
  <w:num w:numId="43">
    <w:abstractNumId w:val="0"/>
  </w:num>
  <w:num w:numId="44">
    <w:abstractNumId w:val="3"/>
  </w:num>
  <w:num w:numId="45">
    <w:abstractNumId w:val="2"/>
  </w:num>
  <w:num w:numId="46">
    <w:abstractNumId w:val="1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SortMethod w:val="00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E9"/>
    <w:rsid w:val="00033707"/>
    <w:rsid w:val="00037DEB"/>
    <w:rsid w:val="001A23F9"/>
    <w:rsid w:val="001B24B0"/>
    <w:rsid w:val="001D1F18"/>
    <w:rsid w:val="001F7066"/>
    <w:rsid w:val="00274473"/>
    <w:rsid w:val="00367148"/>
    <w:rsid w:val="00382628"/>
    <w:rsid w:val="003D0D72"/>
    <w:rsid w:val="003E4FB3"/>
    <w:rsid w:val="003F0EB8"/>
    <w:rsid w:val="003F7989"/>
    <w:rsid w:val="004F0C8E"/>
    <w:rsid w:val="004F56DD"/>
    <w:rsid w:val="005B3EE9"/>
    <w:rsid w:val="00630159"/>
    <w:rsid w:val="006531A3"/>
    <w:rsid w:val="006D17B9"/>
    <w:rsid w:val="007476AE"/>
    <w:rsid w:val="00811ED4"/>
    <w:rsid w:val="00850408"/>
    <w:rsid w:val="008F1D50"/>
    <w:rsid w:val="009112DC"/>
    <w:rsid w:val="00916E32"/>
    <w:rsid w:val="00935642"/>
    <w:rsid w:val="009C54E4"/>
    <w:rsid w:val="009D33E1"/>
    <w:rsid w:val="00A15D64"/>
    <w:rsid w:val="00A4520F"/>
    <w:rsid w:val="00AD6F8B"/>
    <w:rsid w:val="00B37084"/>
    <w:rsid w:val="00B458AB"/>
    <w:rsid w:val="00BF2E92"/>
    <w:rsid w:val="00C37958"/>
    <w:rsid w:val="00EC2DC7"/>
    <w:rsid w:val="00F15FD4"/>
    <w:rsid w:val="00F34E98"/>
    <w:rsid w:val="00F56AB2"/>
    <w:rsid w:val="00FC435F"/>
    <w:rsid w:val="00FE65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13FCA2"/>
  <w15:docId w15:val="{3A2A6B63-530B-4AF2-A680-DDB7F79A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t-EE" w:eastAsia="et-EE" w:bidi="ar-SA"/>
      </w:rPr>
    </w:rPrDefault>
    <w:pPrDefault>
      <w:pPr>
        <w:spacing w:after="120" w:line="28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semiHidden="1" w:uiPriority="33" w:unhideWhenUsed="1" w:qFormat="1"/>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F7066"/>
    <w:pPr>
      <w:jc w:val="both"/>
    </w:pPr>
    <w:rPr>
      <w:rFonts w:cs="Arial"/>
      <w:snapToGrid w:val="0"/>
      <w:szCs w:val="22"/>
      <w:lang w:eastAsia="en-US"/>
    </w:rPr>
  </w:style>
  <w:style w:type="paragraph" w:styleId="Pealkiri1">
    <w:name w:val="heading 1"/>
    <w:basedOn w:val="Normaallaad"/>
    <w:next w:val="Normaallaad"/>
    <w:uiPriority w:val="2"/>
    <w:qFormat/>
    <w:rsid w:val="00037DEB"/>
    <w:pPr>
      <w:numPr>
        <w:numId w:val="34"/>
      </w:numPr>
      <w:spacing w:before="360"/>
      <w:jc w:val="left"/>
      <w:outlineLvl w:val="0"/>
    </w:pPr>
    <w:rPr>
      <w:b/>
      <w:bCs/>
      <w:caps/>
      <w:szCs w:val="24"/>
    </w:rPr>
  </w:style>
  <w:style w:type="paragraph" w:styleId="Pealkiri2">
    <w:name w:val="heading 2"/>
    <w:basedOn w:val="Pealkiri1"/>
    <w:next w:val="Normaallaad"/>
    <w:uiPriority w:val="2"/>
    <w:qFormat/>
    <w:rsid w:val="00037DEB"/>
    <w:pPr>
      <w:numPr>
        <w:ilvl w:val="1"/>
      </w:numPr>
      <w:spacing w:before="240"/>
      <w:outlineLvl w:val="1"/>
    </w:pPr>
    <w:rPr>
      <w:caps w:val="0"/>
    </w:rPr>
  </w:style>
  <w:style w:type="paragraph" w:styleId="Pealkiri3">
    <w:name w:val="heading 3"/>
    <w:basedOn w:val="Pealkiri2"/>
    <w:next w:val="Normaallaad"/>
    <w:uiPriority w:val="2"/>
    <w:qFormat/>
    <w:rsid w:val="00037DEB"/>
    <w:pPr>
      <w:numPr>
        <w:ilvl w:val="2"/>
      </w:numPr>
      <w:tabs>
        <w:tab w:val="right" w:pos="1134"/>
      </w:tabs>
      <w:spacing w:before="100"/>
      <w:outlineLvl w:val="2"/>
    </w:pPr>
    <w:rPr>
      <w:i/>
      <w:iCs/>
      <w:szCs w:val="22"/>
    </w:rPr>
  </w:style>
  <w:style w:type="paragraph" w:styleId="Pealkiri4">
    <w:name w:val="heading 4"/>
    <w:basedOn w:val="Pealkiri3"/>
    <w:next w:val="Normaallaad"/>
    <w:rsid w:val="00037DEB"/>
    <w:pPr>
      <w:numPr>
        <w:ilvl w:val="3"/>
      </w:numPr>
      <w:tabs>
        <w:tab w:val="clear" w:pos="1134"/>
        <w:tab w:val="right" w:pos="1276"/>
      </w:tabs>
      <w:spacing w:before="120"/>
      <w:outlineLvl w:val="3"/>
    </w:pPr>
    <w:rPr>
      <w:b w:val="0"/>
      <w:bCs w:val="0"/>
    </w:rPr>
  </w:style>
  <w:style w:type="paragraph" w:styleId="Pealkiri5">
    <w:name w:val="heading 5"/>
    <w:basedOn w:val="Pealkiri4"/>
    <w:next w:val="Normaallaad"/>
    <w:rsid w:val="00037DEB"/>
    <w:pPr>
      <w:numPr>
        <w:ilvl w:val="4"/>
      </w:numPr>
      <w:tabs>
        <w:tab w:val="clear" w:pos="1276"/>
      </w:tabs>
      <w:outlineLvl w:val="4"/>
    </w:pPr>
  </w:style>
  <w:style w:type="paragraph" w:styleId="Pealkiri6">
    <w:name w:val="heading 6"/>
    <w:basedOn w:val="Pealkiri5"/>
    <w:next w:val="Normaallaad"/>
    <w:rsid w:val="00037DEB"/>
    <w:pPr>
      <w:numPr>
        <w:ilvl w:val="5"/>
      </w:numPr>
      <w:outlineLvl w:val="5"/>
    </w:pPr>
  </w:style>
  <w:style w:type="paragraph" w:styleId="Pealkiri7">
    <w:name w:val="heading 7"/>
    <w:basedOn w:val="Normaallaad"/>
    <w:next w:val="Normaallaad"/>
    <w:rsid w:val="00037DEB"/>
    <w:pPr>
      <w:numPr>
        <w:ilvl w:val="6"/>
        <w:numId w:val="34"/>
      </w:numPr>
      <w:outlineLvl w:val="6"/>
    </w:pPr>
    <w:rPr>
      <w:i/>
      <w:iCs/>
    </w:rPr>
  </w:style>
  <w:style w:type="paragraph" w:styleId="Pealkiri8">
    <w:name w:val="heading 8"/>
    <w:basedOn w:val="Normaallaad"/>
    <w:next w:val="Normaallaad"/>
    <w:rsid w:val="00037DEB"/>
    <w:pPr>
      <w:numPr>
        <w:ilvl w:val="7"/>
        <w:numId w:val="34"/>
      </w:numPr>
      <w:outlineLvl w:val="7"/>
    </w:pPr>
    <w:rPr>
      <w:i/>
      <w:iCs/>
    </w:rPr>
  </w:style>
  <w:style w:type="paragraph" w:styleId="Pealkiri9">
    <w:name w:val="heading 9"/>
    <w:basedOn w:val="Normaallaad"/>
    <w:next w:val="Normaallaad"/>
    <w:rsid w:val="00037DEB"/>
    <w:pPr>
      <w:numPr>
        <w:ilvl w:val="8"/>
        <w:numId w:val="34"/>
      </w:numPr>
      <w:outlineLvl w:val="8"/>
    </w:pPr>
    <w:rPr>
      <w:i/>
      <w:i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semiHidden/>
    <w:rsid w:val="00037DEB"/>
    <w:pPr>
      <w:tabs>
        <w:tab w:val="center" w:pos="4153"/>
        <w:tab w:val="right" w:pos="8306"/>
      </w:tabs>
      <w:spacing w:after="0" w:line="240" w:lineRule="auto"/>
    </w:pPr>
    <w:rPr>
      <w:color w:val="3C3E6F"/>
      <w:sz w:val="18"/>
    </w:rPr>
  </w:style>
  <w:style w:type="paragraph" w:styleId="Pis">
    <w:name w:val="header"/>
    <w:basedOn w:val="Normaallaad"/>
    <w:semiHidden/>
    <w:rsid w:val="00037DEB"/>
    <w:pPr>
      <w:tabs>
        <w:tab w:val="center" w:pos="4153"/>
        <w:tab w:val="right" w:pos="8306"/>
      </w:tabs>
    </w:pPr>
  </w:style>
  <w:style w:type="paragraph" w:customStyle="1" w:styleId="Loetelu">
    <w:name w:val="Loetelu"/>
    <w:basedOn w:val="Normaallaad"/>
    <w:uiPriority w:val="1"/>
    <w:qFormat/>
    <w:rsid w:val="00037DEB"/>
    <w:pPr>
      <w:numPr>
        <w:numId w:val="25"/>
      </w:numPr>
    </w:pPr>
  </w:style>
  <w:style w:type="paragraph" w:customStyle="1" w:styleId="Mrkusenumber">
    <w:name w:val="Märkuse number"/>
    <w:basedOn w:val="Normaallaad"/>
    <w:rsid w:val="00037DEB"/>
    <w:rPr>
      <w:vertAlign w:val="superscript"/>
    </w:rPr>
  </w:style>
  <w:style w:type="paragraph" w:customStyle="1" w:styleId="Mrkusetekst">
    <w:name w:val="Märkuse tekst"/>
    <w:basedOn w:val="Normaallaad"/>
    <w:rsid w:val="00037DEB"/>
    <w:pPr>
      <w:ind w:left="227" w:hanging="227"/>
    </w:pPr>
    <w:rPr>
      <w:sz w:val="18"/>
    </w:rPr>
  </w:style>
  <w:style w:type="paragraph" w:customStyle="1" w:styleId="Sisukorrapealkiri1">
    <w:name w:val="Sisukorra pealkiri1"/>
    <w:basedOn w:val="Normaallaad"/>
    <w:unhideWhenUsed/>
    <w:rPr>
      <w:b/>
      <w:caps/>
      <w:sz w:val="24"/>
    </w:rPr>
  </w:style>
  <w:style w:type="paragraph" w:customStyle="1" w:styleId="Tabelisisu10">
    <w:name w:val="Tabeli sisu 10"/>
    <w:basedOn w:val="Normaallaad"/>
    <w:rsid w:val="00037DEB"/>
    <w:pPr>
      <w:spacing w:before="30" w:after="30" w:line="240" w:lineRule="auto"/>
      <w:jc w:val="left"/>
    </w:pPr>
  </w:style>
  <w:style w:type="paragraph" w:styleId="Illustratsiooniloend">
    <w:name w:val="table of figures"/>
    <w:aliases w:val="Lisad sisukorras"/>
    <w:basedOn w:val="Normaallaad"/>
    <w:next w:val="Normaallaad"/>
    <w:semiHidden/>
    <w:rsid w:val="00037DEB"/>
    <w:pPr>
      <w:spacing w:before="120"/>
      <w:ind w:left="867" w:hanging="442"/>
    </w:pPr>
    <w:rPr>
      <w:i/>
    </w:rPr>
  </w:style>
  <w:style w:type="paragraph" w:styleId="SK1">
    <w:name w:val="toc 1"/>
    <w:basedOn w:val="Normaallaad"/>
    <w:next w:val="Normaallaad"/>
    <w:autoRedefine/>
    <w:semiHidden/>
    <w:rsid w:val="00037DEB"/>
    <w:pPr>
      <w:tabs>
        <w:tab w:val="left" w:pos="426"/>
        <w:tab w:val="right" w:leader="dot" w:pos="9356"/>
      </w:tabs>
      <w:spacing w:before="120"/>
    </w:pPr>
    <w:rPr>
      <w:noProof/>
    </w:rPr>
  </w:style>
  <w:style w:type="paragraph" w:styleId="SK2">
    <w:name w:val="toc 2"/>
    <w:basedOn w:val="Normaallaad"/>
    <w:next w:val="Normaallaad"/>
    <w:autoRedefine/>
    <w:semiHidden/>
    <w:rsid w:val="00037DEB"/>
    <w:pPr>
      <w:tabs>
        <w:tab w:val="left" w:pos="993"/>
        <w:tab w:val="right" w:leader="dot" w:pos="9356"/>
      </w:tabs>
      <w:spacing w:before="120"/>
      <w:ind w:left="993" w:hanging="567"/>
    </w:pPr>
    <w:rPr>
      <w:i/>
    </w:rPr>
  </w:style>
  <w:style w:type="paragraph" w:styleId="SK3">
    <w:name w:val="toc 3"/>
    <w:basedOn w:val="Normaallaad"/>
    <w:next w:val="Normaallaad"/>
    <w:autoRedefine/>
    <w:semiHidden/>
    <w:rsid w:val="00037DEB"/>
    <w:pPr>
      <w:tabs>
        <w:tab w:val="left" w:pos="1701"/>
        <w:tab w:val="right" w:leader="dot" w:pos="9356"/>
      </w:tabs>
      <w:spacing w:before="120"/>
      <w:ind w:left="1134" w:hanging="142"/>
    </w:pPr>
  </w:style>
  <w:style w:type="paragraph" w:styleId="SK4">
    <w:name w:val="toc 4"/>
    <w:basedOn w:val="Normaallaad"/>
    <w:next w:val="Normaallaad"/>
    <w:autoRedefine/>
    <w:semiHidden/>
    <w:rsid w:val="00037DEB"/>
    <w:pPr>
      <w:tabs>
        <w:tab w:val="left" w:pos="2608"/>
        <w:tab w:val="right" w:leader="dot" w:pos="9356"/>
      </w:tabs>
      <w:spacing w:before="120"/>
      <w:ind w:left="1701"/>
    </w:pPr>
    <w:rPr>
      <w:i/>
    </w:rPr>
  </w:style>
  <w:style w:type="paragraph" w:customStyle="1" w:styleId="Dokumendipealkiri">
    <w:name w:val="Dokumendi pealkiri"/>
    <w:basedOn w:val="Normaallaad"/>
    <w:rsid w:val="00037DEB"/>
    <w:pPr>
      <w:spacing w:after="0"/>
      <w:jc w:val="left"/>
    </w:pPr>
    <w:rPr>
      <w:b/>
      <w:caps/>
      <w:sz w:val="24"/>
    </w:rPr>
  </w:style>
  <w:style w:type="paragraph" w:customStyle="1" w:styleId="Projektiviteemanimetus">
    <w:name w:val="Projekti või teema nimetus"/>
    <w:basedOn w:val="Normaallaad"/>
    <w:rsid w:val="00037DEB"/>
    <w:pPr>
      <w:spacing w:after="0"/>
      <w:jc w:val="left"/>
    </w:pPr>
    <w:rPr>
      <w:b/>
      <w:sz w:val="24"/>
    </w:rPr>
  </w:style>
  <w:style w:type="paragraph" w:customStyle="1" w:styleId="Tasemetegasisu">
    <w:name w:val="Tasemetega sisu"/>
    <w:basedOn w:val="Normaallaad"/>
    <w:uiPriority w:val="1"/>
    <w:qFormat/>
    <w:rsid w:val="00037DEB"/>
    <w:pPr>
      <w:numPr>
        <w:numId w:val="36"/>
      </w:numPr>
    </w:pPr>
  </w:style>
  <w:style w:type="paragraph" w:customStyle="1" w:styleId="Kommentaar">
    <w:name w:val="Kommentaar"/>
    <w:basedOn w:val="Normaallaad"/>
    <w:uiPriority w:val="1"/>
    <w:qFormat/>
    <w:rsid w:val="00037DEB"/>
    <w:pPr>
      <w:shd w:val="pct10" w:color="auto" w:fill="auto"/>
      <w:spacing w:before="30"/>
      <w:ind w:left="1134"/>
    </w:pPr>
    <w:rPr>
      <w:i/>
      <w:iCs/>
      <w:sz w:val="18"/>
    </w:rPr>
  </w:style>
  <w:style w:type="paragraph" w:customStyle="1" w:styleId="Ilmanumbritevahepealkiri">
    <w:name w:val="Ilmanumbritevahepealkiri"/>
    <w:basedOn w:val="Normaallaad"/>
    <w:uiPriority w:val="1"/>
    <w:qFormat/>
    <w:rsid w:val="00037DEB"/>
    <w:pPr>
      <w:spacing w:before="240"/>
      <w:jc w:val="left"/>
    </w:pPr>
    <w:rPr>
      <w:b/>
      <w:i/>
    </w:rPr>
  </w:style>
  <w:style w:type="paragraph" w:customStyle="1" w:styleId="Punktidegasisu">
    <w:name w:val="Punktidegasisu"/>
    <w:basedOn w:val="Normaallaad"/>
    <w:uiPriority w:val="1"/>
    <w:qFormat/>
    <w:rsid w:val="00037DEB"/>
    <w:pPr>
      <w:numPr>
        <w:numId w:val="35"/>
      </w:numPr>
    </w:pPr>
  </w:style>
  <w:style w:type="character" w:styleId="Klastatudhperlink">
    <w:name w:val="FollowedHyperlink"/>
    <w:basedOn w:val="Liguvaikefont"/>
    <w:semiHidden/>
    <w:rsid w:val="00037DEB"/>
    <w:rPr>
      <w:rFonts w:ascii="Arial" w:hAnsi="Arial"/>
      <w:color w:val="3C3E6F"/>
      <w:u w:val="single"/>
    </w:rPr>
  </w:style>
  <w:style w:type="character" w:styleId="Hperlink">
    <w:name w:val="Hyperlink"/>
    <w:basedOn w:val="Liguvaikefont"/>
    <w:semiHidden/>
    <w:rsid w:val="00037DEB"/>
    <w:rPr>
      <w:rFonts w:ascii="Arial" w:hAnsi="Arial"/>
      <w:color w:val="3C3E6F"/>
      <w:u w:val="single"/>
    </w:rPr>
  </w:style>
  <w:style w:type="paragraph" w:customStyle="1" w:styleId="Teksthelreal">
    <w:name w:val="Tekst ühel real"/>
    <w:basedOn w:val="Normaallaad"/>
    <w:qFormat/>
    <w:rsid w:val="00037DEB"/>
    <w:pPr>
      <w:spacing w:after="0" w:line="240" w:lineRule="auto"/>
      <w:jc w:val="left"/>
    </w:pPr>
  </w:style>
  <w:style w:type="table" w:styleId="Kontuurtabel">
    <w:name w:val="Table Grid"/>
    <w:aliases w:val="Tabel_varv"/>
    <w:basedOn w:val="Normaaltabel"/>
    <w:uiPriority w:val="59"/>
    <w:rsid w:val="00367148"/>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styleId="Helevarjustus">
    <w:name w:val="Light Shading"/>
    <w:basedOn w:val="Normaaltabel"/>
    <w:uiPriority w:val="60"/>
    <w:rsid w:val="00811ED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811ED4"/>
    <w:rPr>
      <w:color w:val="2D2E53" w:themeColor="accent1" w:themeShade="BF"/>
    </w:rPr>
    <w:tblPr>
      <w:tblStyleRowBandSize w:val="1"/>
      <w:tblStyleColBandSize w:val="1"/>
      <w:tblBorders>
        <w:top w:val="single" w:sz="8" w:space="0" w:color="3C3E6F" w:themeColor="accent1"/>
        <w:bottom w:val="single" w:sz="8" w:space="0" w:color="3C3E6F" w:themeColor="accent1"/>
      </w:tblBorders>
    </w:tblPr>
    <w:tblStylePr w:type="firstRow">
      <w:pPr>
        <w:spacing w:before="0" w:after="0" w:line="240" w:lineRule="auto"/>
      </w:pPr>
      <w:rPr>
        <w:b/>
        <w:bCs/>
      </w:rPr>
      <w:tblPr/>
      <w:tcPr>
        <w:tcBorders>
          <w:top w:val="single" w:sz="8" w:space="0" w:color="3C3E6F" w:themeColor="accent1"/>
          <w:left w:val="nil"/>
          <w:bottom w:val="single" w:sz="8" w:space="0" w:color="3C3E6F" w:themeColor="accent1"/>
          <w:right w:val="nil"/>
          <w:insideH w:val="nil"/>
          <w:insideV w:val="nil"/>
        </w:tcBorders>
      </w:tcPr>
    </w:tblStylePr>
    <w:tblStylePr w:type="lastRow">
      <w:pPr>
        <w:spacing w:before="0" w:after="0" w:line="240" w:lineRule="auto"/>
      </w:pPr>
      <w:rPr>
        <w:b/>
        <w:bCs/>
      </w:rPr>
      <w:tblPr/>
      <w:tcPr>
        <w:tcBorders>
          <w:top w:val="single" w:sz="8" w:space="0" w:color="3C3E6F" w:themeColor="accent1"/>
          <w:left w:val="nil"/>
          <w:bottom w:val="single" w:sz="8" w:space="0" w:color="3C3E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9E1" w:themeFill="accent1" w:themeFillTint="3F"/>
      </w:tcPr>
    </w:tblStylePr>
    <w:tblStylePr w:type="band1Horz">
      <w:tblPr/>
      <w:tcPr>
        <w:tcBorders>
          <w:left w:val="nil"/>
          <w:right w:val="nil"/>
          <w:insideH w:val="nil"/>
          <w:insideV w:val="nil"/>
        </w:tcBorders>
        <w:shd w:val="clear" w:color="auto" w:fill="C8C9E1" w:themeFill="accent1" w:themeFillTint="3F"/>
      </w:tcPr>
    </w:tblStylePr>
  </w:style>
  <w:style w:type="table" w:customStyle="1" w:styleId="Tabeltaveline8">
    <w:name w:val="Tabel_taveline_8"/>
    <w:basedOn w:val="Normaaltabel"/>
    <w:uiPriority w:val="99"/>
    <w:rsid w:val="00916E32"/>
    <w:pPr>
      <w:spacing w:before="30" w:after="30" w:line="240" w:lineRule="auto"/>
    </w:pPr>
    <w:rPr>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Pr>
    <w:tblStylePr w:type="firstRow">
      <w:rPr>
        <w:b/>
      </w:rPr>
    </w:tblStylePr>
  </w:style>
  <w:style w:type="table" w:customStyle="1" w:styleId="Tabeltavaline10">
    <w:name w:val="Tabel_tavaline10"/>
    <w:basedOn w:val="Normaaltabel"/>
    <w:uiPriority w:val="99"/>
    <w:rsid w:val="00916E32"/>
    <w:pPr>
      <w:spacing w:before="30" w:after="3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Pr>
    <w:tblStylePr w:type="firstRow">
      <w:rPr>
        <w:b/>
      </w:rPr>
    </w:tblStylePr>
  </w:style>
  <w:style w:type="paragraph" w:styleId="Sisukorrapealkiri">
    <w:name w:val="TOC Heading"/>
    <w:basedOn w:val="Normaallaad"/>
    <w:rsid w:val="00037DEB"/>
    <w:rPr>
      <w:b/>
      <w:caps/>
      <w:sz w:val="24"/>
    </w:rPr>
  </w:style>
  <w:style w:type="paragraph" w:styleId="Alapealkiri">
    <w:name w:val="Subtitle"/>
    <w:basedOn w:val="Normaallaad"/>
    <w:next w:val="Normaallaad"/>
    <w:link w:val="AlapealkiriMrk"/>
    <w:uiPriority w:val="11"/>
    <w:semiHidden/>
    <w:unhideWhenUsed/>
    <w:qFormat/>
    <w:rsid w:val="00037DEB"/>
    <w:pPr>
      <w:numPr>
        <w:ilvl w:val="1"/>
      </w:numPr>
    </w:pPr>
    <w:rPr>
      <w:rFonts w:asciiTheme="majorHAnsi" w:eastAsiaTheme="majorEastAsia" w:hAnsiTheme="majorHAnsi" w:cstheme="majorBidi"/>
      <w:i/>
      <w:iCs/>
      <w:spacing w:val="15"/>
      <w:sz w:val="24"/>
      <w:szCs w:val="24"/>
    </w:rPr>
  </w:style>
  <w:style w:type="character" w:customStyle="1" w:styleId="AlapealkiriMrk">
    <w:name w:val="Alapealkiri Märk"/>
    <w:basedOn w:val="Liguvaikefont"/>
    <w:link w:val="Alapealkiri"/>
    <w:uiPriority w:val="11"/>
    <w:semiHidden/>
    <w:rsid w:val="00037DEB"/>
    <w:rPr>
      <w:rFonts w:asciiTheme="majorHAnsi" w:eastAsiaTheme="majorEastAsia" w:hAnsiTheme="majorHAnsi" w:cstheme="majorBidi"/>
      <w:i/>
      <w:iCs/>
      <w:snapToGrid w:val="0"/>
      <w:spacing w:val="15"/>
      <w:sz w:val="24"/>
      <w:szCs w:val="24"/>
      <w:lang w:eastAsia="en-US"/>
    </w:rPr>
  </w:style>
  <w:style w:type="paragraph" w:styleId="Dokumendiplaan">
    <w:name w:val="Document Map"/>
    <w:basedOn w:val="Normaallaad"/>
    <w:link w:val="DokumendiplaanMrk"/>
    <w:uiPriority w:val="99"/>
    <w:semiHidden/>
    <w:unhideWhenUsed/>
    <w:rsid w:val="00037DEB"/>
    <w:pPr>
      <w:spacing w:after="0" w:line="240" w:lineRule="auto"/>
    </w:pPr>
    <w:rPr>
      <w:rFonts w:cs="Tahoma"/>
      <w:sz w:val="16"/>
      <w:szCs w:val="16"/>
    </w:rPr>
  </w:style>
  <w:style w:type="character" w:customStyle="1" w:styleId="DokumendiplaanMrk">
    <w:name w:val="Dokumendiplaan Märk"/>
    <w:basedOn w:val="Liguvaikefont"/>
    <w:link w:val="Dokumendiplaan"/>
    <w:uiPriority w:val="99"/>
    <w:semiHidden/>
    <w:rsid w:val="00037DEB"/>
    <w:rPr>
      <w:rFonts w:cs="Tahoma"/>
      <w:snapToGrid w:val="0"/>
      <w:sz w:val="16"/>
      <w:szCs w:val="16"/>
      <w:lang w:eastAsia="en-US"/>
    </w:rPr>
  </w:style>
  <w:style w:type="paragraph" w:styleId="Jutumullitekst">
    <w:name w:val="Balloon Text"/>
    <w:basedOn w:val="Normaallaad"/>
    <w:link w:val="JutumullitekstMrk"/>
    <w:uiPriority w:val="99"/>
    <w:semiHidden/>
    <w:unhideWhenUsed/>
    <w:rsid w:val="00037DEB"/>
    <w:pPr>
      <w:spacing w:after="0" w:line="240" w:lineRule="auto"/>
    </w:pPr>
    <w:rPr>
      <w:rFonts w:cs="Tahoma"/>
      <w:sz w:val="16"/>
      <w:szCs w:val="16"/>
    </w:rPr>
  </w:style>
  <w:style w:type="character" w:customStyle="1" w:styleId="JutumullitekstMrk">
    <w:name w:val="Jutumullitekst Märk"/>
    <w:basedOn w:val="Liguvaikefont"/>
    <w:link w:val="Jutumullitekst"/>
    <w:uiPriority w:val="99"/>
    <w:semiHidden/>
    <w:rsid w:val="00037DEB"/>
    <w:rPr>
      <w:rFonts w:cs="Tahoma"/>
      <w:snapToGrid w:val="0"/>
      <w:sz w:val="16"/>
      <w:szCs w:val="16"/>
      <w:lang w:eastAsia="en-US"/>
    </w:rPr>
  </w:style>
  <w:style w:type="paragraph" w:styleId="Normaallaadveeb">
    <w:name w:val="Normal (Web)"/>
    <w:basedOn w:val="Normaallaad"/>
    <w:uiPriority w:val="99"/>
    <w:semiHidden/>
    <w:unhideWhenUsed/>
    <w:rsid w:val="00037DEB"/>
    <w:rPr>
      <w:rFonts w:cs="Times New Roman"/>
      <w:szCs w:val="24"/>
    </w:rPr>
  </w:style>
  <w:style w:type="paragraph" w:styleId="Pealdis">
    <w:name w:val="caption"/>
    <w:basedOn w:val="Normaallaad"/>
    <w:next w:val="Normaallaad"/>
    <w:uiPriority w:val="35"/>
    <w:semiHidden/>
    <w:unhideWhenUsed/>
    <w:qFormat/>
    <w:rsid w:val="00037DEB"/>
    <w:pPr>
      <w:spacing w:after="200" w:line="240" w:lineRule="auto"/>
    </w:pPr>
    <w:rPr>
      <w:b/>
      <w:bCs/>
      <w:sz w:val="18"/>
      <w:szCs w:val="18"/>
    </w:rPr>
  </w:style>
  <w:style w:type="paragraph" w:customStyle="1" w:styleId="Kuupevjaviide">
    <w:name w:val="Kuupäev ja viide"/>
    <w:basedOn w:val="Normaallaad"/>
    <w:rsid w:val="001F7066"/>
    <w:pPr>
      <w:spacing w:after="0" w:line="240" w:lineRule="auto"/>
      <w:jc w:val="right"/>
    </w:pPr>
    <w:rPr>
      <w:noProof/>
    </w:rPr>
  </w:style>
  <w:style w:type="paragraph" w:customStyle="1" w:styleId="Pealkiriprdumine">
    <w:name w:val="Pealkiri_pöördumine"/>
    <w:basedOn w:val="Normaallaad"/>
    <w:rsid w:val="001F7066"/>
    <w:pPr>
      <w:spacing w:after="0" w:line="240" w:lineRule="auto"/>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epeek.com/Digital-Asset-Management/oecd/finance-and-investment/oecd-pensions-outlook-2016_pens_outlook-2016-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kf.sise\dfs\kataloogid\Tugiteenused\Muu\Blanketid_vormid_stiil\Blanketid&amp;muud_pohivormid\Templates\Kirjablankett_EKsL(10).dotx" TargetMode="External"/></Relationships>
</file>

<file path=word/theme/theme1.xml><?xml version="1.0" encoding="utf-8"?>
<a:theme xmlns:a="http://schemas.openxmlformats.org/drawingml/2006/main" name="LKF_EKsL">
  <a:themeElements>
    <a:clrScheme name="EKsL_LKF">
      <a:dk1>
        <a:sysClr val="windowText" lastClr="000000"/>
      </a:dk1>
      <a:lt1>
        <a:srgbClr val="FFFFFF"/>
      </a:lt1>
      <a:dk2>
        <a:srgbClr val="3C3E6F"/>
      </a:dk2>
      <a:lt2>
        <a:srgbClr val="DBDB4C"/>
      </a:lt2>
      <a:accent1>
        <a:srgbClr val="3C3E6F"/>
      </a:accent1>
      <a:accent2>
        <a:srgbClr val="B8BF22"/>
      </a:accent2>
      <a:accent3>
        <a:srgbClr val="DBDB4C"/>
      </a:accent3>
      <a:accent4>
        <a:srgbClr val="7F7FA5"/>
      </a:accent4>
      <a:accent5>
        <a:srgbClr val="1459C0"/>
      </a:accent5>
      <a:accent6>
        <a:srgbClr val="85C3E6"/>
      </a:accent6>
      <a:hlink>
        <a:srgbClr val="3C3E6F"/>
      </a:hlink>
      <a:folHlink>
        <a:srgbClr val="7F7FA5"/>
      </a:folHlink>
    </a:clrScheme>
    <a:fontScheme name="Klassikaline Office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FB541-4AC6-449E-BFEE-6186F7B4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Kirjablankett_EKsL(10).dotx</Template>
  <TotalTime>35</TotalTime>
  <Pages>2</Pages>
  <Words>830</Words>
  <Characters>5767</Characters>
  <Application>Microsoft Office Word</Application>
  <DocSecurity>0</DocSecurity>
  <Lines>48</Lines>
  <Paragraphs>13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Dokument</vt:lpstr>
      <vt:lpstr>Dokument</vt:lpstr>
    </vt:vector>
  </TitlesOfParts>
  <Company>Eesti Liikluskindlustuse Fond</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Andres Piirsalu</dc:creator>
  <cp:lastModifiedBy>Andres Piirsalu</cp:lastModifiedBy>
  <cp:revision>5</cp:revision>
  <cp:lastPrinted>2018-01-15T14:32:00Z</cp:lastPrinted>
  <dcterms:created xsi:type="dcterms:W3CDTF">2018-01-15T12:07:00Z</dcterms:created>
  <dcterms:modified xsi:type="dcterms:W3CDTF">2018-01-15T14:51:00Z</dcterms:modified>
</cp:coreProperties>
</file>