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209" w:type="dxa"/>
        <w:tblLook w:val="04A0" w:firstRow="1" w:lastRow="0" w:firstColumn="1" w:lastColumn="0" w:noHBand="0" w:noVBand="1"/>
      </w:tblPr>
      <w:tblGrid>
        <w:gridCol w:w="6232"/>
        <w:gridCol w:w="2977"/>
      </w:tblGrid>
      <w:tr w:rsidR="00480CCA" w:rsidRPr="00DF551C" w14:paraId="3D69AA3A" w14:textId="77777777" w:rsidTr="05D191D7">
        <w:tc>
          <w:tcPr>
            <w:tcW w:w="6232" w:type="dxa"/>
          </w:tcPr>
          <w:p w14:paraId="00EC5CEF" w14:textId="77777777" w:rsidR="00480CCA" w:rsidRPr="00DF551C" w:rsidRDefault="00480CCA" w:rsidP="00480CCA">
            <w:pPr>
              <w:pStyle w:val="Normaallaadveeb"/>
              <w:shd w:val="clear" w:color="auto" w:fill="FFFFFF"/>
              <w:spacing w:before="0" w:beforeAutospacing="0" w:after="0" w:afterAutospacing="0"/>
              <w:jc w:val="both"/>
              <w:rPr>
                <w:b/>
                <w:bCs/>
                <w:lang w:val="et-EE"/>
              </w:rPr>
            </w:pPr>
            <w:r w:rsidRPr="0025476B">
              <w:rPr>
                <w:b/>
                <w:bCs/>
                <w:lang w:val="et-EE"/>
              </w:rPr>
              <w:t>Kriminaalmenetluse seadustiku muudatused (eelnõu § 9)</w:t>
            </w:r>
          </w:p>
          <w:p w14:paraId="06B5E9A3" w14:textId="77777777" w:rsidR="00480CCA" w:rsidRPr="00DF551C" w:rsidRDefault="00480CCA" w:rsidP="00480CCA">
            <w:pPr>
              <w:rPr>
                <w:rFonts w:ascii="Times New Roman" w:eastAsia="Times New Roman" w:hAnsi="Times New Roman" w:cs="Times New Roman"/>
                <w:bCs/>
              </w:rPr>
            </w:pPr>
          </w:p>
          <w:p w14:paraId="0BD0B729" w14:textId="77777777" w:rsidR="00480CCA" w:rsidRPr="00DF551C" w:rsidRDefault="00480CCA" w:rsidP="00480CCA">
            <w:pPr>
              <w:jc w:val="both"/>
              <w:rPr>
                <w:rFonts w:ascii="Times New Roman" w:eastAsia="Times New Roman" w:hAnsi="Times New Roman" w:cs="Times New Roman"/>
                <w:bCs/>
                <w:i/>
                <w:iCs/>
              </w:rPr>
            </w:pPr>
            <w:r w:rsidRPr="00DF551C">
              <w:rPr>
                <w:rFonts w:ascii="Times New Roman" w:eastAsia="Times New Roman" w:hAnsi="Times New Roman" w:cs="Times New Roman"/>
                <w:bCs/>
                <w:i/>
                <w:iCs/>
              </w:rPr>
              <w:t>Toetame rahvakohtunike kaotamist, kuid juhime tähelepanu, et selleks tuleks täiendavalt muuta ka kriminaalmenetluse seadustiku maakohtu menetlust puudutavad sätteid, kus kasutatakse mõistet „eesistuja“ (see omab seal tähendust üksnes rahvakohtunike kaudu). Eeldab KrMS § 23 lg 2, § 155 lg 3 (selles sättes peaks eesistuja mõiste säilima, kuna hõlmab ka ringkonnakohut, ent lisada tuleks kohtunik), § 266 lg 1 ning § 315 lg-te 1 ja 5 muutmist. Osa kolleege eelistas rahvakohtunike kaotamisel kolme kohtunikuga kohtukoosseisu võimaldamist kriminaalmenetluses sarnaselt halduskohtumenetlusega, millisel juhul viidatud muudatusi eesistuja kohta teha ei tuleks.</w:t>
            </w:r>
          </w:p>
          <w:p w14:paraId="45F4B4DF" w14:textId="77777777" w:rsidR="00480CCA" w:rsidRPr="00DF551C" w:rsidRDefault="00480CCA" w:rsidP="000440A5">
            <w:pPr>
              <w:jc w:val="both"/>
              <w:rPr>
                <w:rStyle w:val="cf01"/>
                <w:rFonts w:ascii="Times New Roman" w:hAnsi="Times New Roman" w:cs="Times New Roman"/>
                <w:b/>
                <w:bCs/>
                <w:sz w:val="24"/>
                <w:szCs w:val="24"/>
                <w:u w:val="single"/>
              </w:rPr>
            </w:pPr>
          </w:p>
        </w:tc>
        <w:tc>
          <w:tcPr>
            <w:tcW w:w="2977" w:type="dxa"/>
          </w:tcPr>
          <w:p w14:paraId="57CBB849" w14:textId="77777777" w:rsidR="00480CCA" w:rsidRPr="00DF551C" w:rsidRDefault="00480CCA" w:rsidP="000440A5">
            <w:pPr>
              <w:pStyle w:val="Normaallaadveeb"/>
              <w:spacing w:before="0" w:beforeAutospacing="0" w:after="0" w:afterAutospacing="0"/>
              <w:jc w:val="both"/>
              <w:rPr>
                <w:b/>
                <w:color w:val="FF0000"/>
                <w:lang w:val="et-EE"/>
              </w:rPr>
            </w:pPr>
          </w:p>
        </w:tc>
      </w:tr>
      <w:tr w:rsidR="00480CCA" w:rsidRPr="00DF551C" w14:paraId="71A78952" w14:textId="77777777" w:rsidTr="05D191D7">
        <w:tc>
          <w:tcPr>
            <w:tcW w:w="6232" w:type="dxa"/>
          </w:tcPr>
          <w:p w14:paraId="3884A2B3" w14:textId="77777777" w:rsidR="00480CCA" w:rsidRPr="00DF551C" w:rsidRDefault="00480CCA" w:rsidP="05D191D7">
            <w:pPr>
              <w:pStyle w:val="Normaallaadveeb"/>
              <w:spacing w:before="0" w:beforeAutospacing="0" w:after="0" w:afterAutospacing="0"/>
              <w:jc w:val="both"/>
              <w:rPr>
                <w:b/>
                <w:bCs/>
                <w:lang w:val="et-EE"/>
              </w:rPr>
            </w:pPr>
            <w:r w:rsidRPr="05D191D7">
              <w:rPr>
                <w:b/>
                <w:bCs/>
                <w:lang w:val="et-EE"/>
              </w:rPr>
              <w:t xml:space="preserve">Riigivastutuse seaduse </w:t>
            </w:r>
            <w:r w:rsidRPr="0025476B">
              <w:rPr>
                <w:b/>
                <w:bCs/>
                <w:lang w:val="et-EE"/>
              </w:rPr>
              <w:t>muudatused (eelnõu § 20)</w:t>
            </w:r>
          </w:p>
          <w:p w14:paraId="53626ED0" w14:textId="77777777" w:rsidR="00480CCA" w:rsidRPr="00DF551C" w:rsidRDefault="00480CCA" w:rsidP="00480CCA">
            <w:pPr>
              <w:pStyle w:val="Normaallaadveeb"/>
              <w:spacing w:before="0" w:beforeAutospacing="0" w:after="0" w:afterAutospacing="0"/>
              <w:jc w:val="both"/>
              <w:rPr>
                <w:i/>
                <w:iCs/>
                <w:lang w:val="et-EE"/>
              </w:rPr>
            </w:pPr>
          </w:p>
          <w:p w14:paraId="02420DD7" w14:textId="77777777" w:rsidR="00480CCA" w:rsidRPr="00DF551C" w:rsidRDefault="00480CCA" w:rsidP="00480CCA">
            <w:pPr>
              <w:pStyle w:val="Normaallaadveeb"/>
              <w:spacing w:before="0" w:beforeAutospacing="0" w:after="0" w:afterAutospacing="0"/>
              <w:jc w:val="both"/>
              <w:rPr>
                <w:i/>
                <w:iCs/>
                <w:lang w:val="et-EE"/>
              </w:rPr>
            </w:pPr>
            <w:r w:rsidRPr="00DF551C">
              <w:rPr>
                <w:i/>
                <w:iCs/>
                <w:lang w:val="et-EE"/>
              </w:rPr>
              <w:t>Väljendame muret ka eelnõus pakutud riigivastutuse seaduse § 17 lõike 1 muutmise üle (eelnõu § 20), kus soovitakse kohtu poolt tekitatud kahju hüvitamise taotluse adressaadina edaspidi näha Justiits- ja Digiministeeriumi asemel näha kohtute nõukogu. Ühtpidi tundub muudatus loogiline, kui kohtute haldamine läheb üle kohtute nõukogule ja kohtuhaldusteenistusele. Samas ei ole kohtute poolne kahju hüvitamise mehhanism üleüldse seaduse tasandil ette nähtud ega läbi mõeldud. Ei saa nõustuda käsitlusega, kus võimalikud kahju hüvitised tuleb katta kohtusüsteemi eelarvest, st kohtute arvel, ilma et selleks oleks ette nähtud vastavat reservi või tasandusmehhanismi. Halvemal juhul võib see viia kohtute tegevuse halvamiseni ja õigusemõistmisse sekkumiseni.</w:t>
            </w:r>
          </w:p>
          <w:p w14:paraId="3ABE5F72" w14:textId="77777777" w:rsidR="00480CCA" w:rsidRPr="00DF551C" w:rsidRDefault="00480CCA" w:rsidP="000440A5">
            <w:pPr>
              <w:jc w:val="both"/>
              <w:rPr>
                <w:rStyle w:val="cf01"/>
                <w:rFonts w:ascii="Times New Roman" w:hAnsi="Times New Roman" w:cs="Times New Roman"/>
                <w:b/>
                <w:bCs/>
                <w:sz w:val="24"/>
                <w:szCs w:val="24"/>
                <w:u w:val="single"/>
              </w:rPr>
            </w:pPr>
          </w:p>
        </w:tc>
        <w:tc>
          <w:tcPr>
            <w:tcW w:w="2977" w:type="dxa"/>
          </w:tcPr>
          <w:p w14:paraId="346068F7" w14:textId="77777777" w:rsidR="00480CCA" w:rsidRPr="00DF551C" w:rsidRDefault="00480CCA" w:rsidP="000440A5">
            <w:pPr>
              <w:pStyle w:val="Normaallaadveeb"/>
              <w:spacing w:before="0" w:beforeAutospacing="0" w:after="0" w:afterAutospacing="0"/>
              <w:jc w:val="both"/>
              <w:rPr>
                <w:b/>
                <w:color w:val="FF0000"/>
                <w:lang w:val="et-EE"/>
              </w:rPr>
            </w:pPr>
          </w:p>
        </w:tc>
      </w:tr>
      <w:tr w:rsidR="00D47232" w:rsidRPr="00DF551C" w14:paraId="7E848E3A" w14:textId="77777777" w:rsidTr="05D191D7">
        <w:tc>
          <w:tcPr>
            <w:tcW w:w="6232" w:type="dxa"/>
          </w:tcPr>
          <w:p w14:paraId="5FFFFEAD" w14:textId="77777777" w:rsidR="00D47232" w:rsidRDefault="00D47232" w:rsidP="00D47232">
            <w:pPr>
              <w:jc w:val="both"/>
              <w:rPr>
                <w:rFonts w:ascii="Times New Roman" w:hAnsi="Times New Roman" w:cs="Times New Roman"/>
                <w:b/>
                <w:bCs/>
              </w:rPr>
            </w:pPr>
          </w:p>
          <w:p w14:paraId="7D5D5EBB" w14:textId="0D5A65CC" w:rsidR="00D47232" w:rsidRPr="00D47232" w:rsidRDefault="00D47232" w:rsidP="00D47232">
            <w:pPr>
              <w:jc w:val="both"/>
              <w:rPr>
                <w:rFonts w:ascii="Times New Roman" w:hAnsi="Times New Roman" w:cs="Times New Roman"/>
                <w:b/>
                <w:bCs/>
              </w:rPr>
            </w:pPr>
            <w:r w:rsidRPr="00D47232">
              <w:rPr>
                <w:rFonts w:ascii="Times New Roman" w:hAnsi="Times New Roman" w:cs="Times New Roman"/>
                <w:b/>
                <w:bCs/>
              </w:rPr>
              <w:t xml:space="preserve">Võimalikud kohtumenetlusi tõhustavad muudatused teistes seadustes </w:t>
            </w:r>
          </w:p>
          <w:p w14:paraId="5D03BD68" w14:textId="77777777" w:rsidR="00D47232" w:rsidRPr="00DF551C" w:rsidRDefault="00D47232" w:rsidP="000440A5">
            <w:pPr>
              <w:jc w:val="both"/>
              <w:rPr>
                <w:rStyle w:val="cf01"/>
                <w:rFonts w:ascii="Times New Roman" w:hAnsi="Times New Roman" w:cs="Times New Roman"/>
                <w:b/>
                <w:bCs/>
                <w:sz w:val="24"/>
                <w:szCs w:val="24"/>
              </w:rPr>
            </w:pPr>
          </w:p>
        </w:tc>
        <w:tc>
          <w:tcPr>
            <w:tcW w:w="2977" w:type="dxa"/>
          </w:tcPr>
          <w:p w14:paraId="738633F7" w14:textId="77777777" w:rsidR="00D47232" w:rsidRPr="00DF551C" w:rsidRDefault="00D47232" w:rsidP="00B83BF4">
            <w:pPr>
              <w:jc w:val="both"/>
              <w:rPr>
                <w:rFonts w:ascii="Times New Roman" w:hAnsi="Times New Roman" w:cs="Times New Roman"/>
                <w:color w:val="000000" w:themeColor="text1"/>
              </w:rPr>
            </w:pPr>
          </w:p>
        </w:tc>
      </w:tr>
      <w:tr w:rsidR="00480CCA" w:rsidRPr="00DF551C" w14:paraId="308914A4" w14:textId="77777777" w:rsidTr="05D191D7">
        <w:tc>
          <w:tcPr>
            <w:tcW w:w="6232" w:type="dxa"/>
          </w:tcPr>
          <w:p w14:paraId="3ACB9D68" w14:textId="77777777" w:rsidR="00480CCA" w:rsidRPr="00DF551C" w:rsidRDefault="00480CCA" w:rsidP="000440A5">
            <w:pPr>
              <w:jc w:val="both"/>
              <w:rPr>
                <w:rStyle w:val="cf01"/>
                <w:rFonts w:ascii="Times New Roman" w:hAnsi="Times New Roman" w:cs="Times New Roman"/>
                <w:sz w:val="24"/>
                <w:szCs w:val="24"/>
              </w:rPr>
            </w:pPr>
            <w:bookmarkStart w:id="0" w:name="_Hlk179749774"/>
          </w:p>
          <w:p w14:paraId="30625FE5" w14:textId="77777777" w:rsidR="00480CCA" w:rsidRPr="00DF551C" w:rsidRDefault="00480CCA" w:rsidP="00CE5CBB">
            <w:pPr>
              <w:jc w:val="both"/>
              <w:rPr>
                <w:rStyle w:val="cf01"/>
                <w:rFonts w:ascii="Times New Roman" w:hAnsi="Times New Roman" w:cs="Times New Roman"/>
                <w:sz w:val="24"/>
                <w:szCs w:val="24"/>
                <w:u w:val="single"/>
              </w:rPr>
            </w:pPr>
            <w:r w:rsidRPr="00DF551C">
              <w:rPr>
                <w:rStyle w:val="cf01"/>
                <w:rFonts w:ascii="Times New Roman" w:hAnsi="Times New Roman" w:cs="Times New Roman"/>
                <w:sz w:val="24"/>
                <w:szCs w:val="24"/>
                <w:u w:val="single"/>
              </w:rPr>
              <w:t xml:space="preserve">Täitemenetluse seadustiku muutmine </w:t>
            </w:r>
          </w:p>
          <w:p w14:paraId="4905A81C" w14:textId="77777777" w:rsidR="00480CCA" w:rsidRPr="00DF551C" w:rsidRDefault="00480CCA" w:rsidP="000440A5">
            <w:pPr>
              <w:pStyle w:val="Normaallaadveeb"/>
              <w:spacing w:before="0" w:beforeAutospacing="0" w:after="0" w:afterAutospacing="0"/>
              <w:jc w:val="both"/>
              <w:rPr>
                <w:i/>
                <w:iCs/>
                <w:u w:val="single"/>
                <w:lang w:val="et-EE"/>
              </w:rPr>
            </w:pPr>
          </w:p>
          <w:p w14:paraId="790F24CB" w14:textId="77777777" w:rsidR="00480CCA" w:rsidRPr="00DF551C" w:rsidRDefault="00480CCA" w:rsidP="000440A5">
            <w:pPr>
              <w:pStyle w:val="Normaallaadveeb"/>
              <w:spacing w:before="0" w:beforeAutospacing="0" w:after="0" w:afterAutospacing="0"/>
              <w:jc w:val="both"/>
              <w:rPr>
                <w:i/>
                <w:iCs/>
                <w:u w:val="single"/>
                <w:lang w:val="et-EE"/>
              </w:rPr>
            </w:pPr>
            <w:r w:rsidRPr="00DF551C">
              <w:rPr>
                <w:i/>
                <w:iCs/>
                <w:u w:val="single"/>
                <w:lang w:val="et-EE"/>
              </w:rPr>
              <w:t>Tarbijakrediidist tulenevad nõuded</w:t>
            </w:r>
          </w:p>
          <w:p w14:paraId="55036BCB" w14:textId="77777777" w:rsidR="00480CCA" w:rsidRPr="00DF551C" w:rsidRDefault="00480CCA" w:rsidP="000440A5">
            <w:pPr>
              <w:pStyle w:val="Normaallaadveeb"/>
              <w:spacing w:before="0" w:beforeAutospacing="0" w:after="0" w:afterAutospacing="0"/>
              <w:ind w:left="360"/>
              <w:jc w:val="both"/>
              <w:rPr>
                <w:lang w:val="et-EE"/>
              </w:rPr>
            </w:pPr>
          </w:p>
          <w:p w14:paraId="7F4B21E2" w14:textId="77777777" w:rsidR="00480CCA" w:rsidRPr="00DF551C" w:rsidRDefault="00480CCA" w:rsidP="00480CCA">
            <w:pPr>
              <w:pStyle w:val="Normaallaadveeb"/>
              <w:numPr>
                <w:ilvl w:val="0"/>
                <w:numId w:val="5"/>
              </w:numPr>
              <w:spacing w:before="0" w:beforeAutospacing="0" w:after="0" w:afterAutospacing="0"/>
              <w:jc w:val="both"/>
              <w:rPr>
                <w:lang w:val="et-EE"/>
              </w:rPr>
            </w:pPr>
            <w:r w:rsidRPr="00DF551C">
              <w:rPr>
                <w:lang w:val="et-EE"/>
              </w:rPr>
              <w:t>Paragrahvi 24 lõiget 3 täiendatakse punktiga 6</w:t>
            </w:r>
            <w:r w:rsidRPr="00DF551C">
              <w:rPr>
                <w:vertAlign w:val="superscript"/>
                <w:lang w:val="et-EE"/>
              </w:rPr>
              <w:t xml:space="preserve">1 </w:t>
            </w:r>
            <w:r w:rsidRPr="00DF551C">
              <w:rPr>
                <w:lang w:val="et-EE"/>
              </w:rPr>
              <w:t>järgmises sõnastuses:</w:t>
            </w:r>
          </w:p>
          <w:p w14:paraId="005FE4D3" w14:textId="77777777" w:rsidR="00480CCA" w:rsidRPr="00DF551C" w:rsidRDefault="00480CCA" w:rsidP="000440A5">
            <w:pPr>
              <w:jc w:val="both"/>
              <w:rPr>
                <w:rFonts w:ascii="Times New Roman" w:hAnsi="Times New Roman" w:cs="Times New Roman"/>
              </w:rPr>
            </w:pPr>
            <w:r w:rsidRPr="00DF551C">
              <w:rPr>
                <w:rFonts w:ascii="Times New Roman" w:hAnsi="Times New Roman" w:cs="Times New Roman"/>
              </w:rPr>
              <w:t>„6</w:t>
            </w:r>
            <w:r w:rsidRPr="00DF551C">
              <w:rPr>
                <w:rFonts w:ascii="Times New Roman" w:hAnsi="Times New Roman" w:cs="Times New Roman"/>
                <w:vertAlign w:val="superscript"/>
              </w:rPr>
              <w:t>1</w:t>
            </w:r>
            <w:r w:rsidRPr="00DF551C">
              <w:rPr>
                <w:rFonts w:ascii="Times New Roman" w:hAnsi="Times New Roman" w:cs="Times New Roman"/>
              </w:rPr>
              <w:t>) viide võlgniku õigusele esitada põhjendamist mittevajav vastuväide tarbijakrediidilepingust tulenevas nõudes esitatud maksekäsule 20 päeva jooksul alates maksekäsu täitmiseks algatatud täitemenetlusest teadasaamisest vastavalt tsiviilkohtumenetluse seadustiku § 489</w:t>
            </w:r>
            <w:r w:rsidRPr="00DF551C">
              <w:rPr>
                <w:rFonts w:ascii="Times New Roman" w:hAnsi="Times New Roman" w:cs="Times New Roman"/>
                <w:vertAlign w:val="superscript"/>
              </w:rPr>
              <w:t xml:space="preserve">1 </w:t>
            </w:r>
            <w:r w:rsidRPr="00DF551C">
              <w:rPr>
                <w:rFonts w:ascii="Times New Roman" w:hAnsi="Times New Roman" w:cs="Times New Roman"/>
              </w:rPr>
              <w:t>lõikele 1;“</w:t>
            </w:r>
          </w:p>
          <w:p w14:paraId="79DA20BB" w14:textId="77777777" w:rsidR="00480CCA" w:rsidRPr="00DF551C" w:rsidRDefault="00480CCA" w:rsidP="000440A5">
            <w:pPr>
              <w:jc w:val="both"/>
              <w:rPr>
                <w:rFonts w:ascii="Times New Roman" w:hAnsi="Times New Roman" w:cs="Times New Roman"/>
                <w:b/>
                <w:bCs/>
                <w:i/>
                <w:iCs/>
                <w:u w:val="single"/>
              </w:rPr>
            </w:pPr>
          </w:p>
          <w:p w14:paraId="40269AF9" w14:textId="77777777" w:rsidR="00480CCA" w:rsidRPr="00DF551C" w:rsidRDefault="00480CCA" w:rsidP="000440A5">
            <w:pPr>
              <w:jc w:val="both"/>
              <w:rPr>
                <w:rFonts w:ascii="Times New Roman" w:hAnsi="Times New Roman" w:cs="Times New Roman"/>
                <w:i/>
                <w:iCs/>
              </w:rPr>
            </w:pPr>
            <w:r w:rsidRPr="00DF551C">
              <w:rPr>
                <w:rFonts w:ascii="Times New Roman" w:hAnsi="Times New Roman" w:cs="Times New Roman"/>
                <w:b/>
                <w:bCs/>
                <w:i/>
                <w:iCs/>
                <w:u w:val="single"/>
              </w:rPr>
              <w:t>Selgitus:</w:t>
            </w:r>
            <w:r w:rsidRPr="00DF551C">
              <w:rPr>
                <w:rFonts w:ascii="Times New Roman" w:hAnsi="Times New Roman" w:cs="Times New Roman"/>
                <w:i/>
                <w:iCs/>
              </w:rPr>
              <w:t xml:space="preserve"> Muudatus on vajalik, kui TsMS § 489</w:t>
            </w:r>
            <w:r w:rsidRPr="00DF551C">
              <w:rPr>
                <w:rFonts w:ascii="Times New Roman" w:hAnsi="Times New Roman" w:cs="Times New Roman"/>
                <w:i/>
                <w:iCs/>
                <w:vertAlign w:val="superscript"/>
              </w:rPr>
              <w:t>1</w:t>
            </w:r>
            <w:r w:rsidRPr="00DF551C">
              <w:rPr>
                <w:rFonts w:ascii="Times New Roman" w:hAnsi="Times New Roman" w:cs="Times New Roman"/>
                <w:i/>
                <w:iCs/>
              </w:rPr>
              <w:t xml:space="preserve">muudetakse Riigikohtu pakutud viisil. Kuna tarbijakrediidist tulenevale </w:t>
            </w:r>
            <w:r w:rsidRPr="00DF551C">
              <w:rPr>
                <w:rFonts w:ascii="Times New Roman" w:hAnsi="Times New Roman" w:cs="Times New Roman"/>
                <w:i/>
                <w:iCs/>
              </w:rPr>
              <w:lastRenderedPageBreak/>
              <w:t>maksekäsule saab esitada vastuväite veel täitemenetluses, tuleb võlgniku sellele õigusele ka eraldi tähelepanu juhtida.</w:t>
            </w:r>
          </w:p>
          <w:p w14:paraId="2414200B" w14:textId="77777777" w:rsidR="00480CCA" w:rsidRPr="00DF551C" w:rsidRDefault="00480CCA" w:rsidP="000440A5">
            <w:pPr>
              <w:jc w:val="both"/>
              <w:rPr>
                <w:rFonts w:ascii="Times New Roman" w:hAnsi="Times New Roman" w:cs="Times New Roman"/>
              </w:rPr>
            </w:pPr>
          </w:p>
          <w:p w14:paraId="331E1AD1" w14:textId="77777777" w:rsidR="00480CCA" w:rsidRPr="00DF551C" w:rsidRDefault="00480CCA" w:rsidP="00480CCA">
            <w:pPr>
              <w:pStyle w:val="Normaallaadveeb"/>
              <w:numPr>
                <w:ilvl w:val="0"/>
                <w:numId w:val="5"/>
              </w:numPr>
              <w:spacing w:before="0" w:beforeAutospacing="0" w:after="0" w:afterAutospacing="0"/>
              <w:jc w:val="both"/>
              <w:rPr>
                <w:lang w:val="et-EE"/>
              </w:rPr>
            </w:pPr>
            <w:r w:rsidRPr="00DF551C">
              <w:rPr>
                <w:lang w:val="et-EE"/>
              </w:rPr>
              <w:t>Paragrahv 221 lõige 1</w:t>
            </w:r>
            <w:r w:rsidRPr="00DF551C">
              <w:rPr>
                <w:vertAlign w:val="superscript"/>
                <w:lang w:val="et-EE"/>
              </w:rPr>
              <w:t>1</w:t>
            </w:r>
            <w:r w:rsidRPr="00DF551C">
              <w:rPr>
                <w:lang w:val="et-EE"/>
              </w:rPr>
              <w:t xml:space="preserve"> ja lõige 2 muudetakse ja sõnastatakse järgmiselt:</w:t>
            </w:r>
          </w:p>
          <w:p w14:paraId="24F78F15" w14:textId="77777777" w:rsidR="00480CCA" w:rsidRPr="00DF551C" w:rsidRDefault="00480CCA" w:rsidP="000440A5">
            <w:pPr>
              <w:pStyle w:val="Normaallaadveeb"/>
              <w:spacing w:before="0" w:beforeAutospacing="0" w:after="0" w:afterAutospacing="0"/>
              <w:jc w:val="both"/>
              <w:rPr>
                <w:lang w:val="et-EE"/>
              </w:rPr>
            </w:pPr>
            <w:r w:rsidRPr="00DF551C">
              <w:rPr>
                <w:lang w:val="et-EE"/>
              </w:rPr>
              <w:t>„(1</w:t>
            </w:r>
            <w:r w:rsidRPr="00DF551C">
              <w:rPr>
                <w:vertAlign w:val="superscript"/>
                <w:lang w:val="et-EE"/>
              </w:rPr>
              <w:t>1</w:t>
            </w:r>
            <w:r w:rsidRPr="00DF551C">
              <w:rPr>
                <w:lang w:val="et-EE"/>
              </w:rPr>
              <w:t>) Muu kui kohtulahendi sundtäitmise puhul, iseäranis käesoleva seadustiku § 2 lõike 1 punktides 18-191 nimetatud täitedokumentide puhul, samuti tarbijakrediidilepingust tulenevas nõudes tehtud maksekäsu puhul ning tarbijakrediidilepingust tulenevas nõudes tehtud tagaseljaotsuse puhul, saab võlgnik sundtäitmise lubamatuks tunnistamise hagis esitada ka kõik vastuväited täitedokumendist tuleneva nõude olemasolule ja kehtivusele.</w:t>
            </w:r>
          </w:p>
          <w:p w14:paraId="4838D339" w14:textId="77777777" w:rsidR="00480CCA" w:rsidRPr="00DF551C" w:rsidRDefault="00480CCA" w:rsidP="000440A5">
            <w:pPr>
              <w:pStyle w:val="Normaallaadveeb"/>
              <w:spacing w:before="0" w:beforeAutospacing="0" w:after="0" w:afterAutospacing="0"/>
              <w:jc w:val="both"/>
              <w:rPr>
                <w:lang w:val="et-EE"/>
              </w:rPr>
            </w:pPr>
            <w:r w:rsidRPr="00DF551C">
              <w:rPr>
                <w:lang w:val="et-EE"/>
              </w:rPr>
              <w:t>(2) Käesoleva paragrahvi lõikes 1 nimetatud vastuväited on kohtulahendi puhul, välja arvatud tarbijakrediidilepingust tulenevas nõudes tehtud maksekäsu puhul ning tarbijakrediidilepingust tulenevas nõudes tehtud tagaseljaotsuse puhul, lubatud üksnes siis, kui alus, millel need põhinevad, on tekkinud pärast kohtulahendi jõustumist.“</w:t>
            </w:r>
          </w:p>
          <w:p w14:paraId="470C0D32" w14:textId="77777777" w:rsidR="00480CCA" w:rsidRPr="00DF551C" w:rsidRDefault="00480CCA" w:rsidP="000440A5">
            <w:pPr>
              <w:pStyle w:val="Normaallaadveeb"/>
              <w:spacing w:before="0" w:beforeAutospacing="0" w:after="0" w:afterAutospacing="0"/>
              <w:jc w:val="both"/>
              <w:rPr>
                <w:b/>
                <w:bCs/>
                <w:i/>
                <w:iCs/>
                <w:u w:val="single"/>
                <w:lang w:val="et-EE"/>
              </w:rPr>
            </w:pPr>
          </w:p>
          <w:p w14:paraId="346308B0" w14:textId="77777777" w:rsidR="00480CCA" w:rsidRPr="00DF551C" w:rsidRDefault="00480CCA" w:rsidP="000440A5">
            <w:pPr>
              <w:pStyle w:val="Normaallaadveeb"/>
              <w:spacing w:before="0" w:beforeAutospacing="0" w:after="0" w:afterAutospacing="0"/>
              <w:jc w:val="both"/>
              <w:rPr>
                <w:lang w:val="et-EE"/>
              </w:rPr>
            </w:pPr>
            <w:r w:rsidRPr="00DF551C">
              <w:rPr>
                <w:b/>
                <w:bCs/>
                <w:i/>
                <w:iCs/>
                <w:u w:val="single"/>
                <w:lang w:val="et-EE"/>
              </w:rPr>
              <w:t>Selgitus:</w:t>
            </w:r>
            <w:r w:rsidRPr="00DF551C">
              <w:rPr>
                <w:i/>
                <w:iCs/>
                <w:lang w:val="et-EE"/>
              </w:rPr>
              <w:t xml:space="preserve"> Muudatus aitaks kõrvaldada sätte võimalikku vastuolu Euroopa Kohtu tõlgendusega, eeldusel, et maksekäsu kiirmenetlus jääb endiselt formaliseeritud menetluseks, kus ei kontrollita tõendeid. Nimelt on Euroopa Kohus tõlgendanud direktiivi 93/13/EMÜ ebaõiglaste tingimuste kohta tarbijalepingutes selliselt, et kui riigisiseste õigusnormidega antakse maksekäsu tegemise pädevus ametnikule, kes ei ole kohtunik, ei ole see direktiiviga vastuolus juhul, kui kohtulik kontroll ebaõiglaste tingimuste puudumise üle lepingus on ette nähtud kas maksekäsu täitmise staadiumis või vastulause esitamise korral. Siiski tuleb silmas pidada, kui et kui niisugune kontroll on võimalik ainult vastulause staadiumis ja kui tarbijaid heidutatakse niisugust vastulauset esitamast, esineb siiski vastuolu direktiiviga (EKo 20.09.2018, C-448/17, p-d 50, 51 ja 54). Seega aitaks maksekäsu täitmise staadiumis vastuväite (sundtäitmise lubamatuks tunnistamise hagi) esitamine. Lisaks on Euroopa Kohus märkinud, et direktiiviga 93/13/EMÜ oleks vastuolus see, kui kohtuotsuse seadusjõud oleks kohtulahenditel, millest ei nähtu, et kohtulik kontroll ebaõiglaste tingimuste puudumise üle on toimunud (EKo 07.11.2024, C 178/23, p 38).  Nii direktiivi 93/13/EMÜ kui ka direktiivi 2008/48/EÜ eesmärk on kõrgetasemelise tarbijakaitse tagamine, seega võib Euroopa Kohtu seisukohta laiendada ka direktiivile 2008/48/EÜ. Muudatuse vajalikkust vähendab see, kui võimaldada esitada maksekäsule kahekordne vastuväide (TsMS § 4891 muutmine), kuid tagaseljaotsuse puhul probleem säiliks.</w:t>
            </w:r>
          </w:p>
          <w:p w14:paraId="56511364" w14:textId="77777777" w:rsidR="00480CCA" w:rsidRPr="00DF551C" w:rsidRDefault="00480CCA" w:rsidP="000440A5">
            <w:pPr>
              <w:jc w:val="both"/>
              <w:rPr>
                <w:rFonts w:ascii="Times New Roman" w:hAnsi="Times New Roman" w:cs="Times New Roman"/>
                <w:i/>
                <w:iCs/>
                <w:u w:val="single"/>
              </w:rPr>
            </w:pPr>
          </w:p>
          <w:p w14:paraId="7F61B9CB" w14:textId="77777777" w:rsidR="00480CCA" w:rsidRPr="00DF551C" w:rsidRDefault="00480CCA" w:rsidP="000440A5">
            <w:pPr>
              <w:jc w:val="both"/>
              <w:rPr>
                <w:rFonts w:ascii="Times New Roman" w:hAnsi="Times New Roman" w:cs="Times New Roman"/>
                <w:i/>
                <w:iCs/>
                <w:u w:val="single"/>
              </w:rPr>
            </w:pPr>
            <w:r w:rsidRPr="00DF551C">
              <w:rPr>
                <w:rFonts w:ascii="Times New Roman" w:hAnsi="Times New Roman" w:cs="Times New Roman"/>
                <w:i/>
                <w:iCs/>
                <w:u w:val="single"/>
              </w:rPr>
              <w:t>Alghinna vaidlustamine</w:t>
            </w:r>
          </w:p>
          <w:p w14:paraId="6321921C" w14:textId="77777777" w:rsidR="00480CCA" w:rsidRPr="00DF551C" w:rsidRDefault="00480CCA" w:rsidP="000440A5">
            <w:pPr>
              <w:jc w:val="both"/>
              <w:rPr>
                <w:rFonts w:ascii="Times New Roman" w:hAnsi="Times New Roman" w:cs="Times New Roman"/>
                <w:i/>
                <w:iCs/>
                <w:u w:val="single"/>
              </w:rPr>
            </w:pPr>
          </w:p>
          <w:p w14:paraId="19EF35A2" w14:textId="77777777" w:rsidR="00480CCA" w:rsidRPr="00DF551C" w:rsidRDefault="00480CCA" w:rsidP="00480CCA">
            <w:pPr>
              <w:pStyle w:val="Normaallaadveeb"/>
              <w:numPr>
                <w:ilvl w:val="0"/>
                <w:numId w:val="5"/>
              </w:numPr>
              <w:spacing w:before="0" w:beforeAutospacing="0" w:after="0" w:afterAutospacing="0"/>
              <w:jc w:val="both"/>
              <w:rPr>
                <w:lang w:val="et-EE"/>
              </w:rPr>
            </w:pPr>
            <w:r w:rsidRPr="00DF551C">
              <w:rPr>
                <w:lang w:val="et-EE"/>
              </w:rPr>
              <w:lastRenderedPageBreak/>
              <w:t>Paragrahvi 74 lõige 8 muudetakse ja sõnastatakse järgmiselt:</w:t>
            </w:r>
          </w:p>
          <w:p w14:paraId="08E94C31" w14:textId="77777777" w:rsidR="00480CCA" w:rsidRPr="00DF551C" w:rsidRDefault="00480CCA" w:rsidP="000440A5">
            <w:pPr>
              <w:pStyle w:val="Normaallaadveeb"/>
              <w:spacing w:before="0" w:beforeAutospacing="0" w:after="0" w:afterAutospacing="0"/>
              <w:jc w:val="both"/>
              <w:rPr>
                <w:lang w:val="et-EE"/>
              </w:rPr>
            </w:pPr>
            <w:r w:rsidRPr="00DF551C">
              <w:rPr>
                <w:lang w:val="et-EE"/>
              </w:rPr>
              <w:t>„(8) Hinna vaidlustamise korral määrab kohtutäitur uueks hindamiseks eksperdi.“</w:t>
            </w:r>
          </w:p>
          <w:p w14:paraId="791C9A16" w14:textId="77777777" w:rsidR="00480CCA" w:rsidRPr="00DF551C" w:rsidRDefault="00480CCA" w:rsidP="000440A5">
            <w:pPr>
              <w:pStyle w:val="Normaallaadveeb"/>
              <w:spacing w:before="0" w:beforeAutospacing="0" w:after="0" w:afterAutospacing="0"/>
              <w:ind w:left="360"/>
              <w:jc w:val="both"/>
              <w:rPr>
                <w:lang w:val="et-EE"/>
              </w:rPr>
            </w:pPr>
          </w:p>
          <w:p w14:paraId="5950373A" w14:textId="77777777" w:rsidR="00480CCA" w:rsidRPr="00DF551C" w:rsidRDefault="00480CCA" w:rsidP="00480CCA">
            <w:pPr>
              <w:pStyle w:val="Normaallaadveeb"/>
              <w:numPr>
                <w:ilvl w:val="0"/>
                <w:numId w:val="5"/>
              </w:numPr>
              <w:spacing w:before="0" w:beforeAutospacing="0" w:after="0" w:afterAutospacing="0"/>
              <w:jc w:val="both"/>
              <w:rPr>
                <w:lang w:val="et-EE"/>
              </w:rPr>
            </w:pPr>
            <w:r w:rsidRPr="00DF551C">
              <w:rPr>
                <w:lang w:val="et-EE"/>
              </w:rPr>
              <w:t>Paragrahvi 74 lõike 9 esimeses ja kolmandas lauses asendatakse sõna „kohtu“ sõnaga „kohtutäituri“.</w:t>
            </w:r>
          </w:p>
          <w:p w14:paraId="75638203" w14:textId="77777777" w:rsidR="00480CCA" w:rsidRPr="00DF551C" w:rsidRDefault="00480CCA" w:rsidP="000440A5">
            <w:pPr>
              <w:jc w:val="both"/>
              <w:rPr>
                <w:rFonts w:ascii="Times New Roman" w:hAnsi="Times New Roman" w:cs="Times New Roman"/>
                <w:b/>
                <w:bCs/>
                <w:i/>
                <w:iCs/>
                <w:u w:val="single"/>
              </w:rPr>
            </w:pPr>
          </w:p>
          <w:p w14:paraId="057F940C" w14:textId="77777777" w:rsidR="00480CCA" w:rsidRPr="00DF551C" w:rsidRDefault="00480CCA" w:rsidP="000440A5">
            <w:pPr>
              <w:jc w:val="both"/>
              <w:rPr>
                <w:rFonts w:ascii="Times New Roman" w:hAnsi="Times New Roman" w:cs="Times New Roman"/>
                <w:i/>
                <w:iCs/>
              </w:rPr>
            </w:pPr>
            <w:r w:rsidRPr="00DF551C">
              <w:rPr>
                <w:rFonts w:ascii="Times New Roman" w:hAnsi="Times New Roman" w:cs="Times New Roman"/>
                <w:b/>
                <w:bCs/>
                <w:i/>
                <w:iCs/>
                <w:u w:val="single"/>
              </w:rPr>
              <w:t>Selgitus</w:t>
            </w:r>
            <w:r w:rsidRPr="00DF551C">
              <w:rPr>
                <w:rFonts w:ascii="Times New Roman" w:hAnsi="Times New Roman" w:cs="Times New Roman"/>
                <w:i/>
                <w:iCs/>
              </w:rPr>
              <w:t xml:space="preserve">: Kehtiva regulatsiooni järgi peab täitur pöörduma arestitud asja hinna määramise vaidlustamisel kohtu poole, kelle ainus roll on määrata ekspert. Muudatusega viiakse eksperdi määramise menetlus kohtust välja ja antakse kohtutäituri enda korraldada, kuna tegu ei ole õigusemõistmisega. Muudatus vähendab mõnevõrra kohtu koormust. </w:t>
            </w:r>
          </w:p>
          <w:p w14:paraId="0A5F33A7" w14:textId="77777777" w:rsidR="00480CCA" w:rsidRPr="00DF551C" w:rsidRDefault="00480CCA" w:rsidP="000440A5">
            <w:pPr>
              <w:jc w:val="both"/>
              <w:rPr>
                <w:rFonts w:ascii="Times New Roman" w:hAnsi="Times New Roman" w:cs="Times New Roman"/>
                <w:i/>
                <w:iCs/>
                <w:u w:val="single"/>
              </w:rPr>
            </w:pPr>
          </w:p>
          <w:p w14:paraId="014D565A" w14:textId="77777777" w:rsidR="00480CCA" w:rsidRPr="00DF551C" w:rsidRDefault="00480CCA" w:rsidP="000440A5">
            <w:pPr>
              <w:jc w:val="both"/>
              <w:rPr>
                <w:rFonts w:ascii="Times New Roman" w:hAnsi="Times New Roman" w:cs="Times New Roman"/>
                <w:i/>
                <w:iCs/>
                <w:u w:val="single"/>
              </w:rPr>
            </w:pPr>
            <w:r w:rsidRPr="00DF551C">
              <w:rPr>
                <w:rFonts w:ascii="Times New Roman" w:hAnsi="Times New Roman" w:cs="Times New Roman"/>
                <w:i/>
                <w:iCs/>
                <w:u w:val="single"/>
              </w:rPr>
              <w:t xml:space="preserve">Täitedokumendist tulenevate nõuete aegumine </w:t>
            </w:r>
          </w:p>
          <w:p w14:paraId="0EF67584" w14:textId="77777777" w:rsidR="00480CCA" w:rsidRPr="00DF551C" w:rsidRDefault="00480CCA" w:rsidP="000440A5">
            <w:pPr>
              <w:pStyle w:val="Normaallaadveeb"/>
              <w:spacing w:before="0" w:beforeAutospacing="0" w:after="0" w:afterAutospacing="0"/>
              <w:ind w:left="360"/>
              <w:jc w:val="both"/>
              <w:rPr>
                <w:lang w:val="et-EE"/>
              </w:rPr>
            </w:pPr>
          </w:p>
          <w:p w14:paraId="200712FC" w14:textId="77777777" w:rsidR="00480CCA" w:rsidRPr="00DF551C" w:rsidRDefault="00480CCA" w:rsidP="00480CCA">
            <w:pPr>
              <w:pStyle w:val="Normaallaadveeb"/>
              <w:numPr>
                <w:ilvl w:val="0"/>
                <w:numId w:val="5"/>
              </w:numPr>
              <w:spacing w:before="0" w:beforeAutospacing="0" w:after="0" w:afterAutospacing="0"/>
              <w:jc w:val="both"/>
              <w:rPr>
                <w:lang w:val="et-EE"/>
              </w:rPr>
            </w:pPr>
            <w:r w:rsidRPr="00DF551C">
              <w:rPr>
                <w:lang w:val="et-EE"/>
              </w:rPr>
              <w:t>Paragrahvi 48</w:t>
            </w:r>
            <w:r w:rsidRPr="00DF551C">
              <w:rPr>
                <w:vertAlign w:val="superscript"/>
                <w:lang w:val="et-EE"/>
              </w:rPr>
              <w:t>1</w:t>
            </w:r>
            <w:r w:rsidRPr="00DF551C">
              <w:rPr>
                <w:lang w:val="et-EE"/>
              </w:rPr>
              <w:t xml:space="preserve"> lõike 1 punktist 2 jäetakse välja sõna „ja“ ning lõikest 1 jäetakse välja punkt 3.</w:t>
            </w:r>
          </w:p>
          <w:p w14:paraId="4A701E35" w14:textId="77777777" w:rsidR="00480CCA" w:rsidRPr="00DF551C" w:rsidRDefault="00480CCA" w:rsidP="000440A5">
            <w:pPr>
              <w:pStyle w:val="Normaallaadveeb"/>
              <w:spacing w:before="0" w:beforeAutospacing="0" w:after="0" w:afterAutospacing="0"/>
              <w:ind w:left="360"/>
              <w:jc w:val="both"/>
              <w:rPr>
                <w:lang w:val="et-EE"/>
              </w:rPr>
            </w:pPr>
          </w:p>
          <w:p w14:paraId="4A43B27B" w14:textId="77777777" w:rsidR="00480CCA" w:rsidRPr="00DF551C" w:rsidRDefault="00480CCA" w:rsidP="00480CCA">
            <w:pPr>
              <w:pStyle w:val="Normaallaadveeb"/>
              <w:numPr>
                <w:ilvl w:val="0"/>
                <w:numId w:val="5"/>
              </w:numPr>
              <w:spacing w:before="0" w:beforeAutospacing="0" w:after="0" w:afterAutospacing="0"/>
              <w:jc w:val="both"/>
              <w:rPr>
                <w:lang w:val="et-EE"/>
              </w:rPr>
            </w:pPr>
            <w:r w:rsidRPr="00DF551C">
              <w:rPr>
                <w:lang w:val="et-EE"/>
              </w:rPr>
              <w:t>Paragrahvist 50</w:t>
            </w:r>
            <w:r w:rsidRPr="00DF551C">
              <w:rPr>
                <w:vertAlign w:val="superscript"/>
                <w:lang w:val="et-EE"/>
              </w:rPr>
              <w:t>1</w:t>
            </w:r>
            <w:r w:rsidRPr="00DF551C">
              <w:rPr>
                <w:lang w:val="et-EE"/>
              </w:rPr>
              <w:t xml:space="preserve"> jäetakse välja lõiked 4 ja 5.</w:t>
            </w:r>
          </w:p>
          <w:p w14:paraId="2222E4F6" w14:textId="77777777" w:rsidR="00480CCA" w:rsidRPr="00DF551C" w:rsidRDefault="00480CCA" w:rsidP="000440A5">
            <w:pPr>
              <w:pStyle w:val="Normaallaadveeb"/>
              <w:spacing w:before="0" w:beforeAutospacing="0" w:after="0" w:afterAutospacing="0"/>
              <w:ind w:left="360"/>
              <w:jc w:val="both"/>
              <w:rPr>
                <w:lang w:val="et-EE"/>
              </w:rPr>
            </w:pPr>
          </w:p>
          <w:p w14:paraId="2FB687C3" w14:textId="77777777" w:rsidR="00480CCA" w:rsidRPr="00DF551C" w:rsidRDefault="00480CCA" w:rsidP="00480CCA">
            <w:pPr>
              <w:pStyle w:val="Normaallaadveeb"/>
              <w:numPr>
                <w:ilvl w:val="0"/>
                <w:numId w:val="5"/>
              </w:numPr>
              <w:spacing w:before="0" w:beforeAutospacing="0" w:after="0" w:afterAutospacing="0"/>
              <w:jc w:val="both"/>
              <w:rPr>
                <w:lang w:val="et-EE"/>
              </w:rPr>
            </w:pPr>
            <w:r w:rsidRPr="00DF551C">
              <w:rPr>
                <w:lang w:val="et-EE"/>
              </w:rPr>
              <w:t>Paragrahv 223</w:t>
            </w:r>
            <w:r w:rsidRPr="00DF551C">
              <w:rPr>
                <w:vertAlign w:val="superscript"/>
                <w:lang w:val="et-EE"/>
              </w:rPr>
              <w:t>1</w:t>
            </w:r>
            <w:r w:rsidRPr="00DF551C">
              <w:rPr>
                <w:lang w:val="et-EE"/>
              </w:rPr>
              <w:t xml:space="preserve"> tunnistatakse kehtetuks.</w:t>
            </w:r>
          </w:p>
          <w:p w14:paraId="088307E1" w14:textId="77777777" w:rsidR="00480CCA" w:rsidRPr="00DF551C" w:rsidRDefault="00480CCA" w:rsidP="000440A5">
            <w:pPr>
              <w:pStyle w:val="Normaallaadveeb"/>
              <w:spacing w:before="0" w:beforeAutospacing="0" w:after="0" w:afterAutospacing="0"/>
              <w:jc w:val="both"/>
              <w:rPr>
                <w:b/>
                <w:bCs/>
                <w:i/>
                <w:iCs/>
                <w:u w:val="single"/>
                <w:lang w:val="et-EE"/>
              </w:rPr>
            </w:pPr>
          </w:p>
          <w:p w14:paraId="25D1F385" w14:textId="77777777" w:rsidR="00480CCA" w:rsidRPr="00DF551C" w:rsidRDefault="00480CCA" w:rsidP="000440A5">
            <w:pPr>
              <w:pStyle w:val="Normaallaadveeb"/>
              <w:spacing w:before="0" w:beforeAutospacing="0" w:after="0" w:afterAutospacing="0"/>
              <w:jc w:val="both"/>
              <w:rPr>
                <w:b/>
                <w:bCs/>
                <w:i/>
                <w:iCs/>
                <w:lang w:val="et-EE"/>
              </w:rPr>
            </w:pPr>
            <w:r w:rsidRPr="00DF551C">
              <w:rPr>
                <w:b/>
                <w:bCs/>
                <w:i/>
                <w:iCs/>
                <w:u w:val="single"/>
                <w:lang w:val="et-EE"/>
              </w:rPr>
              <w:t>Selgitus:</w:t>
            </w:r>
            <w:r w:rsidRPr="00DF551C">
              <w:rPr>
                <w:i/>
                <w:iCs/>
                <w:lang w:val="et-EE"/>
              </w:rPr>
              <w:t xml:space="preserve"> Paragrahvi 48</w:t>
            </w:r>
            <w:r w:rsidRPr="00DF551C">
              <w:rPr>
                <w:i/>
                <w:iCs/>
                <w:vertAlign w:val="superscript"/>
                <w:lang w:val="et-EE"/>
              </w:rPr>
              <w:t>1</w:t>
            </w:r>
            <w:r w:rsidRPr="00DF551C">
              <w:rPr>
                <w:i/>
                <w:iCs/>
                <w:lang w:val="et-EE"/>
              </w:rPr>
              <w:t xml:space="preserve"> lõike 1 muutmise ning § 50</w:t>
            </w:r>
            <w:r w:rsidRPr="00DF551C">
              <w:rPr>
                <w:i/>
                <w:iCs/>
                <w:vertAlign w:val="superscript"/>
                <w:lang w:val="et-EE"/>
              </w:rPr>
              <w:t>1</w:t>
            </w:r>
            <w:r w:rsidRPr="00DF551C">
              <w:rPr>
                <w:i/>
                <w:iCs/>
                <w:lang w:val="et-EE"/>
              </w:rPr>
              <w:t xml:space="preserve"> lõigete 4 ja 5 ja § 223</w:t>
            </w:r>
            <w:r w:rsidRPr="00DF551C">
              <w:rPr>
                <w:i/>
                <w:iCs/>
                <w:vertAlign w:val="superscript"/>
                <w:lang w:val="et-EE"/>
              </w:rPr>
              <w:t>1</w:t>
            </w:r>
            <w:r w:rsidRPr="00DF551C">
              <w:rPr>
                <w:i/>
                <w:iCs/>
                <w:lang w:val="et-EE"/>
              </w:rPr>
              <w:t xml:space="preserve"> kehtetuks tunnistamisega antakse täitemenetluse lõpetamine nõude täitmise aegumise tõttu täituri pädevusse ka siis, kui sissenõudja vaidleb lõpetamisele vastu. Tegemist ei ole reeglina keerulise õigusvaidluse lahendamisega, vaid üksnes tähtaegade arvutamisega, mis ei pea tingimata olema kohtu pädevuses. Kohtusse jõuaks vaidlus aegumise üle üksnes kaebuse kaudu täituri otsusele. Muudatusega hoitakse kokku kohturessurssi ja kiirendatakse aegumisvaidluse lahendamist.</w:t>
            </w:r>
          </w:p>
          <w:bookmarkEnd w:id="0"/>
          <w:p w14:paraId="6E5012C9" w14:textId="77777777" w:rsidR="00480CCA" w:rsidRPr="00DF551C" w:rsidRDefault="00480CCA" w:rsidP="00CE5CBB">
            <w:pPr>
              <w:pStyle w:val="Normaallaadveeb"/>
              <w:shd w:val="clear" w:color="auto" w:fill="FFFFFF"/>
              <w:spacing w:before="0" w:beforeAutospacing="0" w:after="0" w:afterAutospacing="0"/>
              <w:jc w:val="both"/>
            </w:pPr>
          </w:p>
        </w:tc>
        <w:tc>
          <w:tcPr>
            <w:tcW w:w="2977" w:type="dxa"/>
          </w:tcPr>
          <w:p w14:paraId="6FDA9B6A" w14:textId="77777777" w:rsidR="00480CCA" w:rsidRPr="00DF551C" w:rsidRDefault="00480CCA" w:rsidP="00B83BF4">
            <w:pPr>
              <w:jc w:val="both"/>
              <w:rPr>
                <w:rFonts w:ascii="Times New Roman" w:hAnsi="Times New Roman" w:cs="Times New Roman"/>
                <w:color w:val="000000" w:themeColor="text1"/>
              </w:rPr>
            </w:pPr>
          </w:p>
        </w:tc>
      </w:tr>
      <w:tr w:rsidR="00480CCA" w:rsidRPr="00DF551C" w14:paraId="67503F5F" w14:textId="77777777" w:rsidTr="05D191D7">
        <w:tc>
          <w:tcPr>
            <w:tcW w:w="6232" w:type="dxa"/>
          </w:tcPr>
          <w:p w14:paraId="0A8162CA" w14:textId="77777777" w:rsidR="006B16B5" w:rsidRPr="00DF551C" w:rsidRDefault="006B16B5" w:rsidP="00CE5CBB">
            <w:pPr>
              <w:pStyle w:val="Normaallaadveeb"/>
              <w:shd w:val="clear" w:color="auto" w:fill="FFFFFF"/>
              <w:spacing w:before="0" w:beforeAutospacing="0" w:after="0" w:afterAutospacing="0"/>
              <w:jc w:val="both"/>
              <w:rPr>
                <w:u w:val="single"/>
                <w:lang w:val="et-EE"/>
              </w:rPr>
            </w:pPr>
            <w:r w:rsidRPr="00DF551C">
              <w:rPr>
                <w:u w:val="single"/>
                <w:lang w:val="et-EE"/>
              </w:rPr>
              <w:lastRenderedPageBreak/>
              <w:t xml:space="preserve">Pankrotiseaduse muutmine </w:t>
            </w:r>
          </w:p>
          <w:p w14:paraId="20B7A18C" w14:textId="77777777" w:rsidR="006B16B5" w:rsidRPr="00DF551C" w:rsidRDefault="006B16B5" w:rsidP="006B16B5">
            <w:pPr>
              <w:pStyle w:val="Normaallaadveeb"/>
              <w:shd w:val="clear" w:color="auto" w:fill="FFFFFF"/>
              <w:spacing w:before="0" w:beforeAutospacing="0" w:after="0" w:afterAutospacing="0"/>
              <w:jc w:val="both"/>
              <w:rPr>
                <w:lang w:val="et-EE"/>
              </w:rPr>
            </w:pPr>
          </w:p>
          <w:p w14:paraId="3FBD3A3F" w14:textId="77777777" w:rsidR="006B16B5" w:rsidRPr="00DF551C" w:rsidRDefault="006B16B5" w:rsidP="006B16B5">
            <w:pPr>
              <w:pStyle w:val="Normaallaadveeb"/>
              <w:shd w:val="clear" w:color="auto" w:fill="FFFFFF"/>
              <w:spacing w:before="0" w:beforeAutospacing="0" w:after="0" w:afterAutospacing="0"/>
              <w:jc w:val="both"/>
              <w:rPr>
                <w:lang w:val="et-EE"/>
              </w:rPr>
            </w:pPr>
            <w:r w:rsidRPr="00DF551C">
              <w:rPr>
                <w:lang w:val="et-EE"/>
              </w:rPr>
              <w:t>Pankrotiseaduses tehakse järgmised muudatused:</w:t>
            </w:r>
          </w:p>
          <w:p w14:paraId="59705A2D" w14:textId="77777777" w:rsidR="006B16B5" w:rsidRPr="00DF551C" w:rsidRDefault="006B16B5" w:rsidP="006B16B5">
            <w:pPr>
              <w:pStyle w:val="Normaallaadveeb"/>
              <w:shd w:val="clear" w:color="auto" w:fill="FFFFFF"/>
              <w:spacing w:before="0" w:beforeAutospacing="0" w:after="0" w:afterAutospacing="0"/>
              <w:jc w:val="both"/>
              <w:rPr>
                <w:lang w:val="et-EE"/>
              </w:rPr>
            </w:pPr>
          </w:p>
          <w:p w14:paraId="464061A4" w14:textId="77777777" w:rsidR="006B16B5" w:rsidRPr="00DF551C" w:rsidRDefault="006B16B5" w:rsidP="006B16B5">
            <w:pPr>
              <w:pStyle w:val="Normaallaadveeb"/>
              <w:numPr>
                <w:ilvl w:val="0"/>
                <w:numId w:val="2"/>
              </w:numPr>
              <w:shd w:val="clear" w:color="auto" w:fill="FFFFFF" w:themeFill="background1"/>
              <w:spacing w:before="0" w:beforeAutospacing="0" w:after="0" w:afterAutospacing="0"/>
              <w:jc w:val="both"/>
              <w:rPr>
                <w:lang w:val="et-EE"/>
              </w:rPr>
            </w:pPr>
            <w:r w:rsidRPr="00DF551C">
              <w:rPr>
                <w:lang w:val="et-EE"/>
              </w:rPr>
              <w:t>Paragrahvi 10 lõige 7 ja § 13 lõige 5 tunnistatakse kehtetuks ning § 17 lõike 1 esimesest lausest jäetakse välja sõnad „või võlgnik, võlausaldaja või ajutine haldur seda taotleb“.</w:t>
            </w:r>
          </w:p>
          <w:p w14:paraId="2EEE9CA2" w14:textId="77777777" w:rsidR="006B16B5" w:rsidRPr="00DF551C" w:rsidRDefault="006B16B5" w:rsidP="006B16B5">
            <w:pPr>
              <w:pStyle w:val="Loendilik"/>
              <w:jc w:val="both"/>
              <w:rPr>
                <w:rFonts w:ascii="Times New Roman" w:hAnsi="Times New Roman" w:cs="Times New Roman"/>
                <w:b/>
                <w:bCs/>
                <w:i/>
                <w:iCs/>
              </w:rPr>
            </w:pPr>
          </w:p>
          <w:p w14:paraId="12FBB458" w14:textId="77777777" w:rsidR="006B16B5" w:rsidRPr="00DF551C" w:rsidRDefault="006B16B5" w:rsidP="006B16B5">
            <w:pPr>
              <w:jc w:val="both"/>
              <w:rPr>
                <w:rFonts w:ascii="Times New Roman" w:hAnsi="Times New Roman" w:cs="Times New Roman"/>
                <w:b/>
                <w:bCs/>
                <w:i/>
                <w:iCs/>
              </w:rPr>
            </w:pPr>
            <w:r w:rsidRPr="00DF551C">
              <w:rPr>
                <w:rFonts w:ascii="Times New Roman" w:hAnsi="Times New Roman" w:cs="Times New Roman"/>
                <w:b/>
                <w:bCs/>
                <w:i/>
                <w:iCs/>
                <w:u w:val="single"/>
              </w:rPr>
              <w:t>Selgitus:</w:t>
            </w:r>
            <w:r w:rsidRPr="00DF551C">
              <w:rPr>
                <w:rFonts w:ascii="Times New Roman" w:hAnsi="Times New Roman" w:cs="Times New Roman"/>
                <w:b/>
                <w:bCs/>
                <w:i/>
                <w:iCs/>
              </w:rPr>
              <w:t xml:space="preserve"> </w:t>
            </w:r>
            <w:r w:rsidRPr="00DF551C">
              <w:rPr>
                <w:rFonts w:ascii="Times New Roman" w:hAnsi="Times New Roman" w:cs="Times New Roman"/>
                <w:i/>
                <w:iCs/>
              </w:rPr>
              <w:t>Paragrahvi 10 lõike 7 ja § 13 lõike 5 väljajätmisega ning § 17 lõike 1 muutmisega jäetakse kohtu otsustada, kas vaadata pankrotiavaldus läbi kohtuistungil, st avaldaja ei saa istungit taotleda. Selliselt saab kohus paindlikult otsustada</w:t>
            </w:r>
            <w:r w:rsidRPr="00DF551C">
              <w:rPr>
                <w:rFonts w:ascii="Times New Roman" w:hAnsi="Times New Roman" w:cs="Times New Roman"/>
                <w:b/>
                <w:bCs/>
                <w:i/>
                <w:iCs/>
              </w:rPr>
              <w:t xml:space="preserve"> </w:t>
            </w:r>
            <w:r w:rsidRPr="00DF551C">
              <w:rPr>
                <w:rFonts w:ascii="Times New Roman" w:hAnsi="Times New Roman" w:cs="Times New Roman"/>
                <w:i/>
                <w:iCs/>
              </w:rPr>
              <w:t>pankrotiavalduse lahendamise viisi ja lahendada avaldus tõhusamal viisil.</w:t>
            </w:r>
          </w:p>
          <w:p w14:paraId="5D423E01" w14:textId="77777777" w:rsidR="006B16B5" w:rsidRPr="00DF551C" w:rsidRDefault="006B16B5" w:rsidP="006B16B5">
            <w:pPr>
              <w:pStyle w:val="Normaallaadveeb"/>
              <w:shd w:val="clear" w:color="auto" w:fill="FFFFFF"/>
              <w:spacing w:before="0" w:beforeAutospacing="0" w:after="0" w:afterAutospacing="0"/>
              <w:jc w:val="both"/>
              <w:rPr>
                <w:lang w:val="et-EE"/>
              </w:rPr>
            </w:pPr>
          </w:p>
          <w:p w14:paraId="51518261" w14:textId="77777777" w:rsidR="006B16B5" w:rsidRPr="00DF551C" w:rsidRDefault="006B16B5" w:rsidP="006B16B5">
            <w:pPr>
              <w:pStyle w:val="Normaallaadveeb"/>
              <w:numPr>
                <w:ilvl w:val="0"/>
                <w:numId w:val="2"/>
              </w:numPr>
              <w:shd w:val="clear" w:color="auto" w:fill="FFFFFF" w:themeFill="background1"/>
              <w:spacing w:before="0" w:beforeAutospacing="0" w:after="0" w:afterAutospacing="0"/>
              <w:jc w:val="both"/>
              <w:rPr>
                <w:lang w:val="et-EE"/>
              </w:rPr>
            </w:pPr>
            <w:r w:rsidRPr="00DF551C">
              <w:rPr>
                <w:lang w:val="et-EE"/>
              </w:rPr>
              <w:t>Paragrahvi 32 lõikest 2 jäetakse välja teine lause.</w:t>
            </w:r>
          </w:p>
          <w:p w14:paraId="3F03B129" w14:textId="77777777" w:rsidR="006B16B5" w:rsidRPr="00DF551C" w:rsidRDefault="006B16B5" w:rsidP="006B16B5">
            <w:pPr>
              <w:pStyle w:val="Loendilik"/>
              <w:jc w:val="both"/>
              <w:rPr>
                <w:rFonts w:ascii="Times New Roman" w:hAnsi="Times New Roman" w:cs="Times New Roman"/>
              </w:rPr>
            </w:pPr>
          </w:p>
          <w:p w14:paraId="0BB03748" w14:textId="77777777" w:rsidR="006B16B5" w:rsidRPr="00DF551C" w:rsidRDefault="006B16B5" w:rsidP="006B16B5">
            <w:pPr>
              <w:jc w:val="both"/>
              <w:rPr>
                <w:rFonts w:ascii="Times New Roman" w:hAnsi="Times New Roman" w:cs="Times New Roman"/>
                <w:b/>
                <w:i/>
              </w:rPr>
            </w:pPr>
            <w:r w:rsidRPr="00DF551C">
              <w:rPr>
                <w:rFonts w:ascii="Times New Roman" w:hAnsi="Times New Roman" w:cs="Times New Roman"/>
                <w:b/>
                <w:i/>
                <w:u w:val="single"/>
              </w:rPr>
              <w:t>Selgitus:</w:t>
            </w:r>
            <w:r w:rsidRPr="00DF551C">
              <w:rPr>
                <w:rFonts w:ascii="Times New Roman" w:hAnsi="Times New Roman" w:cs="Times New Roman"/>
                <w:b/>
                <w:i/>
              </w:rPr>
              <w:t xml:space="preserve"> </w:t>
            </w:r>
            <w:r w:rsidRPr="00DF551C">
              <w:rPr>
                <w:rFonts w:ascii="Times New Roman" w:hAnsi="Times New Roman" w:cs="Times New Roman"/>
                <w:i/>
              </w:rPr>
              <w:t>Paragrahvi 32 lõikest 2 teise lause väljajätmisega piiratakse määruskaebuse Riigikohtule esitamise võimalust, kui pankrotiavaldus jäetakse rahuldamata. See tõhustab menetlust ja toob kiirema lahenduse, kui alama astme kohtute arvates ei ole pankroti väljakuulutamine põhjendatud. Võlausaldaja saab oma nõuded panna maksma kohtumenetluses. Lisaks ei ole välistatud asjaolude muutumisel uue pankrotiavalduse esitamine.</w:t>
            </w:r>
          </w:p>
          <w:p w14:paraId="02458047" w14:textId="77777777" w:rsidR="006B16B5" w:rsidRPr="00DF551C" w:rsidRDefault="006B16B5" w:rsidP="006B16B5">
            <w:pPr>
              <w:jc w:val="both"/>
              <w:rPr>
                <w:rFonts w:ascii="Times New Roman" w:hAnsi="Times New Roman" w:cs="Times New Roman"/>
              </w:rPr>
            </w:pPr>
          </w:p>
          <w:p w14:paraId="3F56E355" w14:textId="77777777" w:rsidR="006B16B5" w:rsidRPr="00DF551C" w:rsidRDefault="006B16B5" w:rsidP="006B16B5">
            <w:pPr>
              <w:pStyle w:val="Normaallaadveeb"/>
              <w:numPr>
                <w:ilvl w:val="0"/>
                <w:numId w:val="2"/>
              </w:numPr>
              <w:shd w:val="clear" w:color="auto" w:fill="FFFFFF" w:themeFill="background1"/>
              <w:spacing w:before="0" w:beforeAutospacing="0" w:after="0" w:afterAutospacing="0"/>
              <w:jc w:val="both"/>
              <w:rPr>
                <w:lang w:val="et-EE"/>
              </w:rPr>
            </w:pPr>
            <w:r w:rsidRPr="00DF551C">
              <w:rPr>
                <w:lang w:val="et-EE"/>
              </w:rPr>
              <w:t>Paragrahvi 84</w:t>
            </w:r>
            <w:r w:rsidRPr="00DF551C">
              <w:rPr>
                <w:vertAlign w:val="superscript"/>
                <w:lang w:val="et-EE"/>
              </w:rPr>
              <w:t>1</w:t>
            </w:r>
            <w:r w:rsidRPr="00DF551C">
              <w:rPr>
                <w:lang w:val="et-EE"/>
              </w:rPr>
              <w:t xml:space="preserve"> lõike 3 punktid 6 ja 7 tunnistatakse kehtetuks. </w:t>
            </w:r>
          </w:p>
          <w:p w14:paraId="035C0EEC" w14:textId="77777777" w:rsidR="006B16B5" w:rsidRPr="00DF551C" w:rsidRDefault="006B16B5" w:rsidP="006B16B5">
            <w:pPr>
              <w:pStyle w:val="Loendilik"/>
              <w:jc w:val="both"/>
              <w:rPr>
                <w:rFonts w:ascii="Times New Roman" w:hAnsi="Times New Roman" w:cs="Times New Roman"/>
                <w:b/>
                <w:bCs/>
                <w:i/>
                <w:iCs/>
              </w:rPr>
            </w:pPr>
          </w:p>
          <w:p w14:paraId="7DB53272" w14:textId="77777777" w:rsidR="006B16B5" w:rsidRPr="00DF551C" w:rsidRDefault="006B16B5" w:rsidP="006B16B5">
            <w:pPr>
              <w:jc w:val="both"/>
              <w:rPr>
                <w:rFonts w:ascii="Times New Roman" w:hAnsi="Times New Roman" w:cs="Times New Roman"/>
                <w:b/>
                <w:bCs/>
                <w:i/>
                <w:iCs/>
              </w:rPr>
            </w:pPr>
            <w:r w:rsidRPr="00DF551C">
              <w:rPr>
                <w:rFonts w:ascii="Times New Roman" w:hAnsi="Times New Roman" w:cs="Times New Roman"/>
                <w:b/>
                <w:bCs/>
                <w:i/>
                <w:iCs/>
                <w:u w:val="single"/>
              </w:rPr>
              <w:t>Selgitus:</w:t>
            </w:r>
            <w:r w:rsidRPr="00DF551C">
              <w:rPr>
                <w:rFonts w:ascii="Times New Roman" w:hAnsi="Times New Roman" w:cs="Times New Roman"/>
                <w:b/>
                <w:bCs/>
                <w:i/>
                <w:iCs/>
              </w:rPr>
              <w:t xml:space="preserve"> </w:t>
            </w:r>
            <w:r w:rsidRPr="00DF551C">
              <w:rPr>
                <w:rFonts w:ascii="Times New Roman" w:hAnsi="Times New Roman" w:cs="Times New Roman"/>
                <w:i/>
                <w:iCs/>
              </w:rPr>
              <w:t>Paragrahvi 84</w:t>
            </w:r>
            <w:r w:rsidRPr="00DF551C">
              <w:rPr>
                <w:rFonts w:ascii="Times New Roman" w:hAnsi="Times New Roman" w:cs="Times New Roman"/>
                <w:i/>
                <w:iCs/>
                <w:vertAlign w:val="superscript"/>
              </w:rPr>
              <w:t>1</w:t>
            </w:r>
            <w:r w:rsidRPr="00DF551C">
              <w:rPr>
                <w:rFonts w:ascii="Times New Roman" w:hAnsi="Times New Roman" w:cs="Times New Roman"/>
                <w:i/>
                <w:iCs/>
              </w:rPr>
              <w:t xml:space="preserve"> lõike 3 punktide 6 ja 7 kehtetuks tunnistamisega võimaldataks pankrotimenetluses </w:t>
            </w:r>
            <w:r w:rsidRPr="00DF551C">
              <w:rPr>
                <w:rFonts w:ascii="Times New Roman" w:hAnsi="Times New Roman" w:cs="Times New Roman"/>
                <w:i/>
              </w:rPr>
              <w:t>halduri ja ajutise halduri ja toimkonna tasude ja kulude</w:t>
            </w:r>
            <w:r w:rsidRPr="00DF551C">
              <w:rPr>
                <w:rFonts w:ascii="Times New Roman" w:hAnsi="Times New Roman" w:cs="Times New Roman"/>
                <w:i/>
                <w:iCs/>
              </w:rPr>
              <w:t xml:space="preserve"> kindlaksmääramisel kasutada kohtujuristi. Tegemist ei ole sisulise õigusemõistmise küsimusega, mis tuleb reserveerida kohtunikule. Muudatus võimaldab tööd paindlikumalt korraldada ning säästa kohtuniku ressurssi olulisemate ja keerulisemate küsimuste jaoks. Kas seda tegelikult kasutatakse, jääb kohtute otsustada.</w:t>
            </w:r>
          </w:p>
          <w:p w14:paraId="2B5D40E4" w14:textId="77777777" w:rsidR="006B16B5" w:rsidRPr="00DF551C" w:rsidRDefault="006B16B5" w:rsidP="006B16B5">
            <w:pPr>
              <w:pStyle w:val="Normaallaadveeb"/>
              <w:shd w:val="clear" w:color="auto" w:fill="FFFFFF"/>
              <w:spacing w:before="0" w:beforeAutospacing="0" w:after="0" w:afterAutospacing="0"/>
              <w:jc w:val="both"/>
              <w:rPr>
                <w:i/>
                <w:iCs/>
                <w:lang w:val="et-EE"/>
              </w:rPr>
            </w:pPr>
          </w:p>
          <w:p w14:paraId="338F3FDF" w14:textId="77777777" w:rsidR="006B16B5" w:rsidRPr="00DF551C" w:rsidRDefault="006B16B5" w:rsidP="006B16B5">
            <w:pPr>
              <w:pStyle w:val="Loendilik"/>
              <w:numPr>
                <w:ilvl w:val="0"/>
                <w:numId w:val="2"/>
              </w:numPr>
              <w:jc w:val="both"/>
              <w:rPr>
                <w:rFonts w:ascii="Times New Roman" w:hAnsi="Times New Roman" w:cs="Times New Roman"/>
              </w:rPr>
            </w:pPr>
            <w:r w:rsidRPr="00DF551C">
              <w:rPr>
                <w:rFonts w:ascii="Times New Roman" w:hAnsi="Times New Roman" w:cs="Times New Roman"/>
              </w:rPr>
              <w:t>Paragrahv 100</w:t>
            </w:r>
            <w:r w:rsidRPr="00DF551C">
              <w:rPr>
                <w:rFonts w:ascii="Times New Roman" w:hAnsi="Times New Roman" w:cs="Times New Roman"/>
                <w:vertAlign w:val="superscript"/>
              </w:rPr>
              <w:t xml:space="preserve">3 </w:t>
            </w:r>
            <w:r w:rsidRPr="00DF551C">
              <w:rPr>
                <w:rFonts w:ascii="Times New Roman" w:hAnsi="Times New Roman" w:cs="Times New Roman"/>
              </w:rPr>
              <w:t>lõike 4 punkt 1 muudetakse ja sõnastatakse järgmiselt:</w:t>
            </w:r>
          </w:p>
          <w:p w14:paraId="19922E13" w14:textId="77777777" w:rsidR="006B16B5" w:rsidRPr="00DF551C" w:rsidRDefault="006B16B5" w:rsidP="006B16B5">
            <w:pPr>
              <w:jc w:val="both"/>
              <w:rPr>
                <w:rFonts w:ascii="Times New Roman" w:hAnsi="Times New Roman" w:cs="Times New Roman"/>
              </w:rPr>
            </w:pPr>
            <w:r w:rsidRPr="00DF551C">
              <w:rPr>
                <w:rFonts w:ascii="Times New Roman" w:hAnsi="Times New Roman" w:cs="Times New Roman"/>
              </w:rPr>
              <w:t>„1) nõue, mis on rahuldatud jõustunud kohtulahendiga või täitemenetluse seadustiku § 2 lõike 1 punkti 6 või 6</w:t>
            </w:r>
            <w:r w:rsidRPr="00DF551C">
              <w:rPr>
                <w:rFonts w:ascii="Times New Roman" w:hAnsi="Times New Roman" w:cs="Times New Roman"/>
                <w:vertAlign w:val="superscript"/>
              </w:rPr>
              <w:t xml:space="preserve">1 </w:t>
            </w:r>
            <w:r w:rsidRPr="00DF551C">
              <w:rPr>
                <w:rFonts w:ascii="Times New Roman" w:hAnsi="Times New Roman" w:cs="Times New Roman"/>
              </w:rPr>
              <w:t>kohaselt täitedokumendiks oleva vahekohtu lahendiga, välja arvatud tarbijakrediidilepingust tulenevas nõudes tehtud maksekäsk ning tarbijakrediidilepingust tulenevas nõudes tehtud tagaseljaotsus</w:t>
            </w:r>
            <w:r w:rsidRPr="00DF551C">
              <w:t xml:space="preserve"> </w:t>
            </w:r>
            <w:r w:rsidRPr="00DF551C">
              <w:rPr>
                <w:rFonts w:ascii="Times New Roman" w:hAnsi="Times New Roman" w:cs="Times New Roman"/>
              </w:rPr>
              <w:t>mille põhjendustest ei nähtu, et kohus oleks kontrollinud, kas krediidiandja on enne tarbijakrediidilepingu sõlmimist hinnanud tarbija krediidivõimelisust vastavalt võlaõigusseaduse § 4034 lg-tele 2–4;“</w:t>
            </w:r>
          </w:p>
          <w:p w14:paraId="17FE3D23" w14:textId="77777777" w:rsidR="006B16B5" w:rsidRPr="00DF551C" w:rsidRDefault="006B16B5" w:rsidP="006B16B5">
            <w:pPr>
              <w:jc w:val="both"/>
              <w:rPr>
                <w:rFonts w:ascii="Times New Roman" w:hAnsi="Times New Roman" w:cs="Times New Roman"/>
                <w:b/>
                <w:bCs/>
                <w:i/>
                <w:iCs/>
              </w:rPr>
            </w:pPr>
          </w:p>
          <w:p w14:paraId="0F7C1DF7" w14:textId="77777777" w:rsidR="006B16B5" w:rsidRPr="00DF551C" w:rsidRDefault="006B16B5" w:rsidP="006B16B5">
            <w:pPr>
              <w:jc w:val="both"/>
              <w:rPr>
                <w:rFonts w:ascii="Times New Roman" w:hAnsi="Times New Roman" w:cs="Times New Roman"/>
                <w:i/>
                <w:iCs/>
              </w:rPr>
            </w:pPr>
            <w:r w:rsidRPr="00DF551C">
              <w:rPr>
                <w:rFonts w:ascii="Times New Roman" w:hAnsi="Times New Roman" w:cs="Times New Roman"/>
                <w:b/>
                <w:bCs/>
                <w:i/>
                <w:iCs/>
                <w:u w:val="single"/>
              </w:rPr>
              <w:t>Selgitus:</w:t>
            </w:r>
            <w:r w:rsidRPr="00DF551C">
              <w:rPr>
                <w:rFonts w:ascii="Times New Roman" w:hAnsi="Times New Roman" w:cs="Times New Roman"/>
                <w:i/>
                <w:iCs/>
              </w:rPr>
              <w:t xml:space="preserve"> Muudatus aitab kõrvaldada sätte võimalikku vastuolu Euroopa Kohtu tõlgendusega, mille järgi peab liikmesriigi kohus hindama kohe, kui talle on teada selleks vajalikud asjaolud, kas krediidiandja on täitnud direktiivi 2008/48/EÜ artiklis 8 sätestatud kohustuse. Artiklid 8 ja 23 kohustavad liikmesriigi kohut omal algatusel analüüsima, kas on rikutud krediidiandja lepingueelset kohustust hinnata tarbija krediidivõimelisust, mis on ette nähtud selle direktiivi artiklis 8 (EKo 05.03.2020, C-679/18, p-d 23 ja 46). Samuti on Euroopa Kohus leidnud, et direktiivi 93/13 art 6 lg-ga 1 ja art 7 lg-ga 1 on vastuolus riigisisesed õigusnormid, mis näevad ette, et füüsiliste isikute pankrotimenetluses on nõuete nimekiri pärast seda, kui kohus on selle nimekirja heaks kiitnud, ilma et ta oleks </w:t>
            </w:r>
            <w:r w:rsidRPr="00DF551C">
              <w:rPr>
                <w:rFonts w:ascii="Times New Roman" w:hAnsi="Times New Roman" w:cs="Times New Roman"/>
                <w:i/>
                <w:iCs/>
              </w:rPr>
              <w:lastRenderedPageBreak/>
              <w:t>käsitlenud asjasse puutuva lepingu tingimuste võimalikku ebaõiglust, ja pankrotikohtus on menetlust alustatud, viimati nimetatud kohtu jaoks siduv, mistõttu ei saa ta hinnata, kas sellise krediidilepingu tingimused, millel põhineb sellesse nimekirja kantud nõue, on ebaõiglased (EKo 03.07.2025, C 582/23, p 58). Lisaks on Euroopa Kohus märkinud, et direktiiviga 93/13/EMÜ oleks vastuolus see, kui kohtuotsuse seadusjõud oleks kohtulahenditel, millest ei nähtu, et selline kontroll on toimunud (EKo 07.11.2024, C 178/23, p 38). Nii direktiivi 93/13/EMÜ kui ka direktiivi 2008/48/EÜ eesmärk on kõrgetasemelise tarbijakaitse tagamine, seega võib neid seisukohti laiendada ka direktiivile 2008/48/EÜ.</w:t>
            </w:r>
          </w:p>
          <w:p w14:paraId="279653B0" w14:textId="77777777" w:rsidR="006B16B5" w:rsidRPr="00DF551C" w:rsidRDefault="006B16B5" w:rsidP="006B16B5">
            <w:pPr>
              <w:jc w:val="both"/>
              <w:rPr>
                <w:rFonts w:ascii="Times New Roman" w:hAnsi="Times New Roman" w:cs="Times New Roman"/>
              </w:rPr>
            </w:pPr>
          </w:p>
          <w:p w14:paraId="15E9970C" w14:textId="77777777" w:rsidR="00480CCA" w:rsidRPr="00DF551C" w:rsidRDefault="00480CCA" w:rsidP="000440A5">
            <w:pPr>
              <w:jc w:val="both"/>
              <w:rPr>
                <w:rStyle w:val="cf01"/>
                <w:rFonts w:ascii="Times New Roman" w:hAnsi="Times New Roman" w:cs="Times New Roman"/>
                <w:b/>
                <w:bCs/>
                <w:sz w:val="24"/>
                <w:szCs w:val="24"/>
                <w:u w:val="single"/>
              </w:rPr>
            </w:pPr>
          </w:p>
        </w:tc>
        <w:tc>
          <w:tcPr>
            <w:tcW w:w="2977" w:type="dxa"/>
          </w:tcPr>
          <w:p w14:paraId="3D545511" w14:textId="77777777" w:rsidR="00480CCA" w:rsidRPr="00DF551C" w:rsidRDefault="00480CCA" w:rsidP="000440A5">
            <w:pPr>
              <w:pStyle w:val="Normaallaadveeb"/>
              <w:spacing w:before="0" w:beforeAutospacing="0" w:after="0" w:afterAutospacing="0"/>
              <w:jc w:val="both"/>
              <w:rPr>
                <w:b/>
                <w:bCs/>
                <w:lang w:val="et-EE"/>
              </w:rPr>
            </w:pPr>
          </w:p>
        </w:tc>
      </w:tr>
      <w:tr w:rsidR="006B16B5" w:rsidRPr="00DF551C" w14:paraId="60AF4D0D" w14:textId="77777777" w:rsidTr="05D191D7">
        <w:tc>
          <w:tcPr>
            <w:tcW w:w="6232" w:type="dxa"/>
          </w:tcPr>
          <w:p w14:paraId="737F22ED" w14:textId="480AC06B" w:rsidR="00153C8C" w:rsidRPr="00DF551C" w:rsidRDefault="00153C8C" w:rsidP="00153C8C">
            <w:pPr>
              <w:pStyle w:val="Normaallaadveeb"/>
              <w:shd w:val="clear" w:color="auto" w:fill="FFFFFF"/>
              <w:spacing w:after="0"/>
              <w:jc w:val="both"/>
              <w:rPr>
                <w:u w:val="single"/>
                <w:lang w:val="et-EE"/>
              </w:rPr>
            </w:pPr>
            <w:r w:rsidRPr="00DF551C">
              <w:rPr>
                <w:u w:val="single"/>
                <w:lang w:val="et-EE"/>
              </w:rPr>
              <w:lastRenderedPageBreak/>
              <w:t>Füüsilise isiku maksejõuetuse seaduse muutmine</w:t>
            </w:r>
          </w:p>
          <w:p w14:paraId="17A3A8A7" w14:textId="77777777" w:rsidR="00153C8C" w:rsidRPr="00DF551C" w:rsidRDefault="00153C8C" w:rsidP="00153C8C">
            <w:pPr>
              <w:pStyle w:val="Normaallaadveeb"/>
              <w:shd w:val="clear" w:color="auto" w:fill="FFFFFF"/>
              <w:spacing w:after="0"/>
              <w:jc w:val="both"/>
              <w:rPr>
                <w:u w:val="single"/>
                <w:lang w:val="et-EE"/>
              </w:rPr>
            </w:pPr>
            <w:r w:rsidRPr="00DF551C">
              <w:rPr>
                <w:u w:val="single"/>
                <w:lang w:val="et-EE"/>
              </w:rPr>
              <w:t>Füüsilise isiku maksejõuetuse seaduse § 6 lõikest 3 jäetakse välja sõnad „usaldusisikule tasu ja kulutuste hüvitise määramise,“.</w:t>
            </w:r>
          </w:p>
          <w:p w14:paraId="4D9F01F3" w14:textId="4C2ED402" w:rsidR="006B16B5" w:rsidRPr="00DF551C" w:rsidRDefault="00153C8C" w:rsidP="00153C8C">
            <w:pPr>
              <w:pStyle w:val="Normaallaadveeb"/>
              <w:shd w:val="clear" w:color="auto" w:fill="FFFFFF"/>
              <w:spacing w:before="0" w:beforeAutospacing="0" w:after="0" w:afterAutospacing="0"/>
              <w:jc w:val="both"/>
              <w:rPr>
                <w:i/>
                <w:iCs/>
                <w:lang w:val="et-EE"/>
              </w:rPr>
            </w:pPr>
            <w:r w:rsidRPr="00DF551C">
              <w:rPr>
                <w:i/>
                <w:iCs/>
                <w:lang w:val="et-EE"/>
              </w:rPr>
              <w:t xml:space="preserve">Selgitus: Paragrahvi 6 lõike 3 muudatuse järgi saaksid kohtujuristid õiguse määrata füüsilise isiku maksejõuetuse menetluses usaldusisiku tasu ja kulutuste hüvitist, võimaldades vabastada kohtuniku ressurssi sisulisemate otsustuste peale. Paljuski ons ee tasu standardiseeritud. Tasu määramine ei ole kitsas mõistes õigusemõistmine, mida peaks tegema kohtunik.  </w:t>
            </w:r>
          </w:p>
        </w:tc>
        <w:tc>
          <w:tcPr>
            <w:tcW w:w="2977" w:type="dxa"/>
          </w:tcPr>
          <w:p w14:paraId="681AA16A" w14:textId="77777777" w:rsidR="006B16B5" w:rsidRPr="00DF551C" w:rsidRDefault="006B16B5" w:rsidP="000440A5">
            <w:pPr>
              <w:pStyle w:val="Normaallaadveeb"/>
              <w:spacing w:before="0" w:beforeAutospacing="0" w:after="0" w:afterAutospacing="0"/>
              <w:jc w:val="both"/>
              <w:rPr>
                <w:b/>
                <w:bCs/>
                <w:lang w:val="et-EE"/>
              </w:rPr>
            </w:pPr>
          </w:p>
        </w:tc>
      </w:tr>
      <w:tr w:rsidR="005B0835" w:rsidRPr="003D3B5D" w14:paraId="316DB744" w14:textId="77777777" w:rsidTr="05D191D7">
        <w:tc>
          <w:tcPr>
            <w:tcW w:w="6232" w:type="dxa"/>
          </w:tcPr>
          <w:p w14:paraId="7B9245D1" w14:textId="77777777" w:rsidR="00CE5CBB" w:rsidRPr="00DF551C" w:rsidRDefault="00CE5CBB" w:rsidP="00C0120B">
            <w:pPr>
              <w:pStyle w:val="Normaallaadveeb"/>
              <w:shd w:val="clear" w:color="auto" w:fill="FFFFFF"/>
              <w:spacing w:before="0" w:beforeAutospacing="0" w:after="0" w:afterAutospacing="0"/>
              <w:jc w:val="both"/>
              <w:rPr>
                <w:u w:val="single"/>
                <w:lang w:val="et-EE"/>
              </w:rPr>
            </w:pPr>
            <w:bookmarkStart w:id="1" w:name="_Hlk181950527"/>
            <w:r w:rsidRPr="00DF551C">
              <w:rPr>
                <w:u w:val="single"/>
                <w:lang w:val="et-EE"/>
              </w:rPr>
              <w:t xml:space="preserve">Notari tasu seaduse muutmine </w:t>
            </w:r>
          </w:p>
          <w:p w14:paraId="358D568B" w14:textId="77777777" w:rsidR="00CE5CBB" w:rsidRPr="00DF551C" w:rsidRDefault="00CE5CBB" w:rsidP="00CE5CBB">
            <w:pPr>
              <w:pStyle w:val="Normaallaadveeb"/>
              <w:shd w:val="clear" w:color="auto" w:fill="FFFFFF"/>
              <w:spacing w:before="0" w:beforeAutospacing="0" w:after="0" w:afterAutospacing="0"/>
              <w:ind w:left="360"/>
              <w:jc w:val="both"/>
              <w:rPr>
                <w:b/>
                <w:bCs/>
                <w:lang w:val="et-EE"/>
              </w:rPr>
            </w:pPr>
          </w:p>
          <w:p w14:paraId="0A3DD077" w14:textId="77777777" w:rsidR="00CE5CBB" w:rsidRPr="00DF551C" w:rsidRDefault="00CE5CBB" w:rsidP="00CE5CBB">
            <w:pPr>
              <w:pStyle w:val="Normaallaadveeb"/>
              <w:shd w:val="clear" w:color="auto" w:fill="FFFFFF"/>
              <w:spacing w:before="0" w:beforeAutospacing="0" w:after="0" w:afterAutospacing="0"/>
              <w:jc w:val="both"/>
              <w:rPr>
                <w:lang w:val="et-EE"/>
              </w:rPr>
            </w:pPr>
            <w:r w:rsidRPr="00DF551C">
              <w:rPr>
                <w:lang w:val="et-EE"/>
              </w:rPr>
              <w:t>Notari tasu seaduse §-d 40</w:t>
            </w:r>
            <w:r w:rsidRPr="00DF551C">
              <w:rPr>
                <w:vertAlign w:val="superscript"/>
                <w:lang w:val="et-EE"/>
              </w:rPr>
              <w:t>2</w:t>
            </w:r>
            <w:r w:rsidRPr="00DF551C">
              <w:rPr>
                <w:lang w:val="et-EE"/>
              </w:rPr>
              <w:t xml:space="preserve"> tehakse järgmised muudatused:</w:t>
            </w:r>
          </w:p>
          <w:p w14:paraId="00732107" w14:textId="77777777" w:rsidR="00CE5CBB" w:rsidRPr="00DF551C" w:rsidRDefault="00CE5CBB" w:rsidP="00CE5CBB">
            <w:pPr>
              <w:pStyle w:val="Normaallaadveeb"/>
              <w:shd w:val="clear" w:color="auto" w:fill="FFFFFF"/>
              <w:spacing w:before="0" w:beforeAutospacing="0" w:after="0" w:afterAutospacing="0"/>
              <w:jc w:val="both"/>
              <w:rPr>
                <w:lang w:val="et-EE"/>
              </w:rPr>
            </w:pPr>
          </w:p>
          <w:p w14:paraId="5BC6BB12" w14:textId="77777777" w:rsidR="00CE5CBB" w:rsidRPr="00DF551C" w:rsidRDefault="00CE5CBB" w:rsidP="00CE5CBB">
            <w:pPr>
              <w:pStyle w:val="Normaallaadveeb"/>
              <w:numPr>
                <w:ilvl w:val="0"/>
                <w:numId w:val="3"/>
              </w:numPr>
              <w:shd w:val="clear" w:color="auto" w:fill="FFFFFF"/>
              <w:spacing w:before="0" w:beforeAutospacing="0" w:after="0" w:afterAutospacing="0"/>
              <w:jc w:val="both"/>
              <w:rPr>
                <w:lang w:val="et-EE"/>
              </w:rPr>
            </w:pPr>
            <w:r w:rsidRPr="00DF551C">
              <w:rPr>
                <w:lang w:val="et-EE"/>
              </w:rPr>
              <w:t>Lõige 2 muudetakse ja sõnastatakse järgmiselt:</w:t>
            </w:r>
          </w:p>
          <w:p w14:paraId="72037DD9" w14:textId="77777777" w:rsidR="00CE5CBB" w:rsidRPr="00DF551C" w:rsidRDefault="00CE5CBB" w:rsidP="00CE5CBB">
            <w:pPr>
              <w:pStyle w:val="Normaallaadveeb"/>
              <w:shd w:val="clear" w:color="auto" w:fill="FFFFFF"/>
              <w:spacing w:before="0" w:beforeAutospacing="0" w:after="0" w:afterAutospacing="0"/>
              <w:jc w:val="both"/>
              <w:rPr>
                <w:lang w:val="et-EE"/>
              </w:rPr>
            </w:pPr>
            <w:r w:rsidRPr="00DF551C">
              <w:rPr>
                <w:lang w:val="et-EE"/>
              </w:rPr>
              <w:t>„(2) Taotlus notari tasu maksmisest vabastamiseks esitatakse 10 päeva jooksul pärast notarilt arve saamist Notarite Kojale.</w:t>
            </w:r>
            <w:bookmarkStart w:id="2" w:name="para40b2lg2"/>
            <w:r w:rsidRPr="00DF551C">
              <w:rPr>
                <w:lang w:val="et-EE"/>
              </w:rPr>
              <w:t>“</w:t>
            </w:r>
          </w:p>
          <w:p w14:paraId="0AFFF11C" w14:textId="77777777" w:rsidR="00CE5CBB" w:rsidRPr="00DF551C" w:rsidRDefault="00CE5CBB" w:rsidP="00CE5CBB">
            <w:pPr>
              <w:pStyle w:val="Normaallaadveeb"/>
              <w:shd w:val="clear" w:color="auto" w:fill="FFFFFF"/>
              <w:spacing w:before="0" w:beforeAutospacing="0" w:after="0" w:afterAutospacing="0"/>
              <w:jc w:val="both"/>
              <w:rPr>
                <w:lang w:val="et-EE"/>
              </w:rPr>
            </w:pPr>
          </w:p>
          <w:p w14:paraId="17D17BA4" w14:textId="77777777" w:rsidR="00CE5CBB" w:rsidRPr="00DF551C" w:rsidRDefault="00CE5CBB" w:rsidP="00CE5CBB">
            <w:pPr>
              <w:pStyle w:val="Normaallaadveeb"/>
              <w:numPr>
                <w:ilvl w:val="0"/>
                <w:numId w:val="3"/>
              </w:numPr>
              <w:shd w:val="clear" w:color="auto" w:fill="FFFFFF"/>
              <w:spacing w:before="0" w:beforeAutospacing="0" w:after="0" w:afterAutospacing="0"/>
              <w:jc w:val="both"/>
              <w:rPr>
                <w:lang w:val="et-EE"/>
              </w:rPr>
            </w:pPr>
            <w:r w:rsidRPr="00DF551C">
              <w:rPr>
                <w:lang w:val="et-EE"/>
              </w:rPr>
              <w:t>Lõige 6 tunnistatakse kehtetuks.</w:t>
            </w:r>
          </w:p>
          <w:bookmarkEnd w:id="1"/>
          <w:p w14:paraId="5A810C75" w14:textId="77777777" w:rsidR="00CE5CBB" w:rsidRPr="00DF551C" w:rsidRDefault="00CE5CBB" w:rsidP="00CE5CBB">
            <w:pPr>
              <w:pStyle w:val="Normaallaadveeb"/>
              <w:shd w:val="clear" w:color="auto" w:fill="FFFFFF"/>
              <w:spacing w:before="0" w:beforeAutospacing="0" w:after="0" w:afterAutospacing="0"/>
              <w:ind w:left="720"/>
              <w:jc w:val="both"/>
              <w:rPr>
                <w:lang w:val="et-EE"/>
              </w:rPr>
            </w:pPr>
          </w:p>
          <w:bookmarkEnd w:id="2"/>
          <w:p w14:paraId="23C7C217" w14:textId="77777777" w:rsidR="00CE5CBB" w:rsidRPr="00DF551C" w:rsidRDefault="00CE5CBB" w:rsidP="00CE5CBB">
            <w:pPr>
              <w:pStyle w:val="Normaallaadveeb"/>
              <w:shd w:val="clear" w:color="auto" w:fill="FFFFFF"/>
              <w:spacing w:before="0" w:beforeAutospacing="0" w:after="0" w:afterAutospacing="0"/>
              <w:jc w:val="both"/>
              <w:rPr>
                <w:i/>
                <w:iCs/>
                <w:lang w:val="et-EE"/>
              </w:rPr>
            </w:pPr>
            <w:r w:rsidRPr="00DF551C">
              <w:rPr>
                <w:b/>
                <w:bCs/>
                <w:i/>
                <w:iCs/>
                <w:u w:val="single"/>
                <w:lang w:val="et-EE"/>
              </w:rPr>
              <w:t>Selgitus:</w:t>
            </w:r>
            <w:r w:rsidRPr="00DF551C">
              <w:rPr>
                <w:i/>
                <w:iCs/>
                <w:lang w:val="et-EE"/>
              </w:rPr>
              <w:t xml:space="preserve"> Notari tasu seaduse § 40</w:t>
            </w:r>
            <w:r w:rsidRPr="00DF551C">
              <w:rPr>
                <w:i/>
                <w:iCs/>
                <w:vertAlign w:val="superscript"/>
                <w:lang w:val="et-EE"/>
              </w:rPr>
              <w:t>2</w:t>
            </w:r>
            <w:r w:rsidRPr="00DF551C">
              <w:rPr>
                <w:i/>
                <w:iCs/>
                <w:lang w:val="et-EE"/>
              </w:rPr>
              <w:t xml:space="preserve"> muudatustega viidaks kohtust välja menetlus notari tasust vabastamiseks majanduslikel põhjustel, kuna sellel puudub kohtumenetlusena nii seos kui põhjendus. Pakutud on asjade lahendamine anda Notarite Kojale, kelle otsuseid saaks vaidlustada halduskohtus. Arvestades eesseisvat tõenäolist notari tasude tõusu vähendab muudatus mõningal määral maakohtute koormust ja annab ressursisäästu. Lisaks muule viidatakse sättes linnakohtule, mida ta ammu enam pole.</w:t>
            </w:r>
          </w:p>
          <w:p w14:paraId="1BF62A3C" w14:textId="77777777" w:rsidR="005B0835" w:rsidRPr="00DF551C" w:rsidRDefault="005B0835" w:rsidP="00153C8C">
            <w:pPr>
              <w:pStyle w:val="Normaallaadveeb"/>
              <w:shd w:val="clear" w:color="auto" w:fill="FFFFFF"/>
              <w:spacing w:after="0"/>
              <w:jc w:val="both"/>
              <w:rPr>
                <w:u w:val="single"/>
                <w:lang w:val="et-EE"/>
              </w:rPr>
            </w:pPr>
          </w:p>
        </w:tc>
        <w:tc>
          <w:tcPr>
            <w:tcW w:w="2977" w:type="dxa"/>
          </w:tcPr>
          <w:p w14:paraId="4DBEF299" w14:textId="77777777" w:rsidR="005B0835" w:rsidRPr="00DF551C" w:rsidRDefault="005B0835" w:rsidP="000440A5">
            <w:pPr>
              <w:pStyle w:val="Normaallaadveeb"/>
              <w:spacing w:before="0" w:beforeAutospacing="0" w:after="0" w:afterAutospacing="0"/>
              <w:jc w:val="both"/>
              <w:rPr>
                <w:b/>
                <w:bCs/>
                <w:lang w:val="et-EE"/>
              </w:rPr>
            </w:pPr>
          </w:p>
        </w:tc>
      </w:tr>
    </w:tbl>
    <w:p w14:paraId="0369EC4C" w14:textId="77777777" w:rsidR="008D6F68" w:rsidRDefault="008D6F68"/>
    <w:sectPr w:rsidR="008D6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DD1"/>
    <w:multiLevelType w:val="hybridMultilevel"/>
    <w:tmpl w:val="4C18BAB4"/>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2EE4D42"/>
    <w:multiLevelType w:val="hybridMultilevel"/>
    <w:tmpl w:val="67769C0A"/>
    <w:lvl w:ilvl="0" w:tplc="533803F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7AD5421"/>
    <w:multiLevelType w:val="multilevel"/>
    <w:tmpl w:val="3954C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92792B"/>
    <w:multiLevelType w:val="multilevel"/>
    <w:tmpl w:val="3954CBD4"/>
    <w:lvl w:ilvl="0">
      <w:start w:val="1"/>
      <w:numFmt w:val="decimal"/>
      <w:lvlText w:val="%1."/>
      <w:lvlJc w:val="left"/>
      <w:pPr>
        <w:ind w:left="720" w:hanging="360"/>
      </w:pPr>
      <w:rPr>
        <w:rFonts w:hint="default"/>
      </w:rPr>
    </w:lvl>
    <w:lvl w:ilvl="1">
      <w:start w:val="1"/>
      <w:numFmt w:val="decimal"/>
      <w:isLgl/>
      <w:lvlText w:val="%1.%2."/>
      <w:lvlJc w:val="left"/>
      <w:pPr>
        <w:ind w:left="617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FAB2342"/>
    <w:multiLevelType w:val="hybridMultilevel"/>
    <w:tmpl w:val="A224BD8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287384">
    <w:abstractNumId w:val="2"/>
  </w:num>
  <w:num w:numId="2" w16cid:durableId="1305160098">
    <w:abstractNumId w:val="4"/>
  </w:num>
  <w:num w:numId="3" w16cid:durableId="1703827535">
    <w:abstractNumId w:val="1"/>
  </w:num>
  <w:num w:numId="4" w16cid:durableId="637616247">
    <w:abstractNumId w:val="3"/>
  </w:num>
  <w:num w:numId="5" w16cid:durableId="77170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CA"/>
    <w:rsid w:val="000440A5"/>
    <w:rsid w:val="000C16AB"/>
    <w:rsid w:val="000D6D11"/>
    <w:rsid w:val="00153C8C"/>
    <w:rsid w:val="0025476B"/>
    <w:rsid w:val="00325210"/>
    <w:rsid w:val="003C6A8B"/>
    <w:rsid w:val="00480CCA"/>
    <w:rsid w:val="005B0835"/>
    <w:rsid w:val="006250CC"/>
    <w:rsid w:val="006B16B5"/>
    <w:rsid w:val="008D6F68"/>
    <w:rsid w:val="009F5DC5"/>
    <w:rsid w:val="00B83BF4"/>
    <w:rsid w:val="00C0120B"/>
    <w:rsid w:val="00C14A29"/>
    <w:rsid w:val="00CE5CBB"/>
    <w:rsid w:val="00D160FD"/>
    <w:rsid w:val="00D47232"/>
    <w:rsid w:val="00DE6243"/>
    <w:rsid w:val="00DE6D3F"/>
    <w:rsid w:val="00DF551C"/>
    <w:rsid w:val="05D19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387C"/>
  <w15:chartTrackingRefBased/>
  <w15:docId w15:val="{98334BF4-9D12-4D84-BC01-AE40C2DD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80CCA"/>
  </w:style>
  <w:style w:type="paragraph" w:styleId="Pealkiri1">
    <w:name w:val="heading 1"/>
    <w:basedOn w:val="Normaallaad"/>
    <w:next w:val="Normaallaad"/>
    <w:link w:val="Pealkiri1Mrk"/>
    <w:uiPriority w:val="9"/>
    <w:qFormat/>
    <w:rsid w:val="0048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8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80CC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80CC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80CC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80CC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80CC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80CC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80CC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80CC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80CC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80CC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80CC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80CC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80CC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80CC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80CC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80CC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8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80CC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80CC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80CC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80CCA"/>
    <w:pPr>
      <w:spacing w:before="160"/>
      <w:jc w:val="center"/>
    </w:pPr>
    <w:rPr>
      <w:i/>
      <w:iCs/>
      <w:color w:val="404040" w:themeColor="text1" w:themeTint="BF"/>
    </w:rPr>
  </w:style>
  <w:style w:type="character" w:customStyle="1" w:styleId="TsitaatMrk">
    <w:name w:val="Tsitaat Märk"/>
    <w:basedOn w:val="Liguvaikefont"/>
    <w:link w:val="Tsitaat"/>
    <w:uiPriority w:val="29"/>
    <w:rsid w:val="00480CCA"/>
    <w:rPr>
      <w:i/>
      <w:iCs/>
      <w:color w:val="404040" w:themeColor="text1" w:themeTint="BF"/>
    </w:rPr>
  </w:style>
  <w:style w:type="paragraph" w:styleId="Loendilik">
    <w:name w:val="List Paragraph"/>
    <w:aliases w:val="Mummuga loetelu"/>
    <w:basedOn w:val="Normaallaad"/>
    <w:link w:val="LoendilikMrk"/>
    <w:uiPriority w:val="34"/>
    <w:qFormat/>
    <w:rsid w:val="00480CCA"/>
    <w:pPr>
      <w:ind w:left="720"/>
      <w:contextualSpacing/>
    </w:pPr>
  </w:style>
  <w:style w:type="character" w:styleId="Selgeltmrgatavrhutus">
    <w:name w:val="Intense Emphasis"/>
    <w:basedOn w:val="Liguvaikefont"/>
    <w:uiPriority w:val="21"/>
    <w:qFormat/>
    <w:rsid w:val="00480CCA"/>
    <w:rPr>
      <w:i/>
      <w:iCs/>
      <w:color w:val="0F4761" w:themeColor="accent1" w:themeShade="BF"/>
    </w:rPr>
  </w:style>
  <w:style w:type="paragraph" w:styleId="Selgeltmrgatavtsitaat">
    <w:name w:val="Intense Quote"/>
    <w:basedOn w:val="Normaallaad"/>
    <w:next w:val="Normaallaad"/>
    <w:link w:val="SelgeltmrgatavtsitaatMrk"/>
    <w:uiPriority w:val="30"/>
    <w:qFormat/>
    <w:rsid w:val="0048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80CCA"/>
    <w:rPr>
      <w:i/>
      <w:iCs/>
      <w:color w:val="0F4761" w:themeColor="accent1" w:themeShade="BF"/>
    </w:rPr>
  </w:style>
  <w:style w:type="character" w:styleId="Selgeltmrgatavviide">
    <w:name w:val="Intense Reference"/>
    <w:basedOn w:val="Liguvaikefont"/>
    <w:uiPriority w:val="32"/>
    <w:qFormat/>
    <w:rsid w:val="00480CCA"/>
    <w:rPr>
      <w:b/>
      <w:bCs/>
      <w:smallCaps/>
      <w:color w:val="0F4761" w:themeColor="accent1" w:themeShade="BF"/>
      <w:spacing w:val="5"/>
    </w:rPr>
  </w:style>
  <w:style w:type="table" w:styleId="Kontuurtabel">
    <w:name w:val="Table Grid"/>
    <w:basedOn w:val="Normaaltabel"/>
    <w:uiPriority w:val="39"/>
    <w:rsid w:val="0048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
    <w:basedOn w:val="Liguvaikefont"/>
    <w:link w:val="Loendilik"/>
    <w:uiPriority w:val="34"/>
    <w:locked/>
    <w:rsid w:val="00480CCA"/>
  </w:style>
  <w:style w:type="paragraph" w:styleId="Normaallaadveeb">
    <w:name w:val="Normal (Web)"/>
    <w:basedOn w:val="Normaallaad"/>
    <w:link w:val="NormaallaadveebMrk"/>
    <w:uiPriority w:val="99"/>
    <w:unhideWhenUsed/>
    <w:qFormat/>
    <w:rsid w:val="00480CC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allaadveebMrk">
    <w:name w:val="Normaallaad (veeb) Märk"/>
    <w:basedOn w:val="Liguvaikefont"/>
    <w:link w:val="Normaallaadveeb"/>
    <w:uiPriority w:val="99"/>
    <w:locked/>
    <w:rsid w:val="00480CCA"/>
    <w:rPr>
      <w:rFonts w:ascii="Times New Roman" w:eastAsia="Times New Roman" w:hAnsi="Times New Roman" w:cs="Times New Roman"/>
      <w:kern w:val="0"/>
      <w:lang w:val="en-GB" w:eastAsia="en-GB"/>
      <w14:ligatures w14:val="none"/>
    </w:rPr>
  </w:style>
  <w:style w:type="character" w:customStyle="1" w:styleId="cf01">
    <w:name w:val="cf01"/>
    <w:basedOn w:val="Liguvaikefont"/>
    <w:rsid w:val="00480CCA"/>
    <w:rPr>
      <w:rFonts w:ascii="Segoe UI" w:hAnsi="Segoe UI" w:cs="Segoe UI" w:hint="default"/>
      <w:sz w:val="18"/>
      <w:szCs w:val="18"/>
    </w:rPr>
  </w:style>
  <w:style w:type="character" w:styleId="Kommentaariviide">
    <w:name w:val="annotation reference"/>
    <w:basedOn w:val="Liguvaikefont"/>
    <w:uiPriority w:val="99"/>
    <w:semiHidden/>
    <w:unhideWhenUsed/>
    <w:rsid w:val="00480CCA"/>
    <w:rPr>
      <w:sz w:val="16"/>
      <w:szCs w:val="16"/>
    </w:rPr>
  </w:style>
  <w:style w:type="paragraph" w:styleId="Kommentaaritekst">
    <w:name w:val="annotation text"/>
    <w:basedOn w:val="Normaallaad"/>
    <w:link w:val="KommentaaritekstMrk"/>
    <w:uiPriority w:val="99"/>
    <w:unhideWhenUsed/>
    <w:rsid w:val="00480CCA"/>
    <w:pPr>
      <w:spacing w:line="240" w:lineRule="auto"/>
    </w:pPr>
    <w:rPr>
      <w:sz w:val="20"/>
      <w:szCs w:val="20"/>
    </w:rPr>
  </w:style>
  <w:style w:type="character" w:customStyle="1" w:styleId="KommentaaritekstMrk">
    <w:name w:val="Kommentaari tekst Märk"/>
    <w:basedOn w:val="Liguvaikefont"/>
    <w:link w:val="Kommentaaritekst"/>
    <w:uiPriority w:val="99"/>
    <w:rsid w:val="00480CCA"/>
    <w:rPr>
      <w:sz w:val="20"/>
      <w:szCs w:val="20"/>
    </w:rPr>
  </w:style>
  <w:style w:type="character" w:styleId="Mainimine">
    <w:name w:val="Mention"/>
    <w:basedOn w:val="Liguvaikefont"/>
    <w:uiPriority w:val="99"/>
    <w:unhideWhenUsed/>
    <w:rsid w:val="00480CCA"/>
    <w:rPr>
      <w:color w:val="2B579A"/>
      <w:shd w:val="clear" w:color="auto" w:fill="E1DFDD"/>
    </w:rPr>
  </w:style>
  <w:style w:type="paragraph" w:styleId="Kommentaariteema">
    <w:name w:val="annotation subject"/>
    <w:basedOn w:val="Kommentaaritekst"/>
    <w:next w:val="Kommentaaritekst"/>
    <w:link w:val="KommentaariteemaMrk"/>
    <w:uiPriority w:val="99"/>
    <w:semiHidden/>
    <w:unhideWhenUsed/>
    <w:rsid w:val="006250CC"/>
    <w:rPr>
      <w:b/>
      <w:bCs/>
    </w:rPr>
  </w:style>
  <w:style w:type="character" w:customStyle="1" w:styleId="KommentaariteemaMrk">
    <w:name w:val="Kommentaari teema Märk"/>
    <w:basedOn w:val="KommentaaritekstMrk"/>
    <w:link w:val="Kommentaariteema"/>
    <w:uiPriority w:val="99"/>
    <w:semiHidden/>
    <w:rsid w:val="00625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1627</Words>
  <Characters>9440</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Marilin Reintamm - JUSTDIGI</dc:creator>
  <cp:keywords/>
  <dc:description/>
  <cp:lastModifiedBy>Markus Veia</cp:lastModifiedBy>
  <cp:revision>2</cp:revision>
  <dcterms:created xsi:type="dcterms:W3CDTF">2026-05-27T08:22:00Z</dcterms:created>
  <dcterms:modified xsi:type="dcterms:W3CDTF">2026-05-27T08:22:00Z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2026-05-13T06:39:11Z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198f1996-1a48-4422-9c89-270930062f2a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